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AI-Powered Prediction of Land Acquisition Delays</w:t>
      </w:r>
    </w:p>
    <w:p>
      <w:pPr>
        <w:spacing w:after="300"/>
      </w:pPr>
      <w:r>
        <w:rPr>
          <w:i/>
          <w:iCs/>
          <w:color w:val="555555"/>
          <w:sz w:val="24"/>
          <w:szCs w:val="24"/>
        </w:rPr>
        <w:t xml:space="preserve">Explained Simply — With Flowcharts</w:t>
      </w:r>
    </w:p>
    <w:p>
      <w:pPr>
        <w:pStyle w:val="Heading1"/>
        <w:spacing w:after="150" w:before="300"/>
      </w:pPr>
      <w:r>
        <w:t xml:space="preserve">1. Background — Why Land Acquisition Delays Matter</w:t>
      </w:r>
    </w:p>
    <w:p>
      <w:pPr>
        <w:spacing w:after="150"/>
      </w:pPr>
      <w:r>
        <w:t xml:space="preserve">Land is the very first input to any infrastructure project — a highway, a railway line, a power plant, an irrigation canal, an industrial corridor. Nothing can be built until the land underneath it is legally and physically in the government's or developer's possession. Land acquisition is therefore not a side activity; it sits on the critical path of the entire project timeline. If it slips, every downstream activity — design finalization, tendering, construction, commissioning — slips with it.</w:t>
      </w:r>
    </w:p>
    <w:p>
      <w:pPr>
        <w:spacing w:after="150"/>
      </w:pPr>
      <w:r>
        <w:t xml:space="preserve">In practice, land acquisition rarely proceeds smoothly. It is a long chain of administrative, legal, financial, and social steps, and each link in that chain is a place where things can go wrong:</w:t>
      </w:r>
    </w:p>
    <w:p>
      <w:pPr>
        <w:pStyle w:val="ListParagraph"/>
        <w:numPr>
          <w:ilvl w:val="0"/>
          <w:numId w:val="1"/>
        </w:numPr>
        <w:spacing w:after="80"/>
      </w:pPr>
      <w:r>
        <w:t xml:space="preserve">Prolonged administrative approvals — files moving between multiple departments (revenue, forest, environment, urban development) with no single owner tracking overall progress</w:t>
      </w:r>
    </w:p>
    <w:p>
      <w:pPr>
        <w:pStyle w:val="ListParagraph"/>
        <w:numPr>
          <w:ilvl w:val="0"/>
          <w:numId w:val="1"/>
        </w:numPr>
        <w:spacing w:after="80"/>
      </w:pPr>
      <w:r>
        <w:t xml:space="preserve">Legal disputes — landowners or third parties challenging notifications, valuations, or ownership records in court, sometimes for years</w:t>
      </w:r>
    </w:p>
    <w:p>
      <w:pPr>
        <w:pStyle w:val="ListParagraph"/>
        <w:numPr>
          <w:ilvl w:val="0"/>
          <w:numId w:val="1"/>
        </w:numPr>
        <w:spacing w:after="80"/>
      </w:pPr>
      <w:r>
        <w:t xml:space="preserve">Delayed compensation disbursement — funds sanctioned but stuck in disbursement bottlenecks, or disputes over the compensation amount itself</w:t>
      </w:r>
    </w:p>
    <w:p>
      <w:pPr>
        <w:pStyle w:val="ListParagraph"/>
        <w:numPr>
          <w:ilvl w:val="0"/>
          <w:numId w:val="1"/>
        </w:numPr>
        <w:spacing w:after="80"/>
      </w:pPr>
      <w:r>
        <w:t xml:space="preserve">Incomplete or inconsistent documentation — missing title deeds, outdated land records, mismatched survey numbers</w:t>
      </w:r>
    </w:p>
    <w:p>
      <w:pPr>
        <w:pStyle w:val="ListParagraph"/>
        <w:numPr>
          <w:ilvl w:val="0"/>
          <w:numId w:val="1"/>
        </w:numPr>
        <w:spacing w:after="80"/>
      </w:pPr>
      <w:r>
        <w:t xml:space="preserve">Pending notifications — statutory notices under land acquisition law not issued or published on time</w:t>
      </w:r>
    </w:p>
    <w:p>
      <w:pPr>
        <w:pStyle w:val="ListParagraph"/>
        <w:numPr>
          <w:ilvl w:val="0"/>
          <w:numId w:val="1"/>
        </w:numPr>
        <w:spacing w:after="80"/>
      </w:pPr>
      <w:r>
        <w:t xml:space="preserve">Land ownership conflicts — unclear or contested titles, especially in areas with informal or ancestral land holding patterns</w:t>
      </w:r>
    </w:p>
    <w:p>
      <w:pPr>
        <w:pStyle w:val="ListParagraph"/>
        <w:numPr>
          <w:ilvl w:val="0"/>
          <w:numId w:val="1"/>
        </w:numPr>
        <w:spacing w:after="80"/>
      </w:pPr>
      <w:r>
        <w:t xml:space="preserve">Rehabilitation and resettlement (R&amp;R) challenges — displaced families needing alternate housing, livelihood support, and social infrastructure before they will vacate</w:t>
      </w:r>
    </w:p>
    <w:p>
      <w:pPr>
        <w:pStyle w:val="ListParagraph"/>
        <w:numPr>
          <w:ilvl w:val="0"/>
          <w:numId w:val="1"/>
        </w:numPr>
        <w:spacing w:after="80"/>
      </w:pPr>
      <w:r>
        <w:t xml:space="preserve">Inter-departmental coordination issues — no shared visibility between the acquiring authority, the revenue department, the judiciary, and the project executing agency</w:t>
      </w:r>
    </w:p>
    <w:p>
      <w:pPr>
        <w:spacing w:after="150"/>
      </w:pPr>
      <w:r>
        <w:t xml:space="preserve">Each of these causes, on its own, might delay a project by a few weeks. In combination — and they very often occur together on the same project — they compound into delays running into months or years. The financial impact is significant: escalated land and construction costs, idle capital, penalty clauses with contractors, and lost economic benefit from the infrastructure not being operational. The social and political cost is just as real: affected communities left in limbo, public trust eroded, and repeated escalation to senior levels of government just to get basic status updates.</w:t>
      </w:r>
    </w:p>
    <w:p>
      <w:pPr>
        <w:spacing w:after="150"/>
      </w:pPr>
      <w:r>
        <w:rPr>
          <w:b/>
          <w:bCs/>
        </w:rPr>
        <w:t xml:space="preserve">The core problem: </w:t>
      </w:r>
      <w:r>
        <w:t xml:space="preserve">today, this entire process is monitored manually and reactively. There is no system that continuously watches a project's data and tells anyone, in advance, "this one is heading for a delay, and here is why." Status is discovered only when someone asks for a report, or when a deadline is already missed.</w:t>
      </w:r>
    </w:p>
    <w:p>
      <w:pPr>
        <w:spacing w:after="100" w:before="100"/>
      </w:pPr>
    </w:p>
    <w:p>
      <w:pPr>
        <w:spacing w:after="100"/>
        <w:jc w:val="center"/>
      </w:pPr>
      <w:r>
        <w:rPr>
          <w:b/>
          <w:bCs/>
          <w:color w:val="555555"/>
          <w:sz w:val="20"/>
          <w:szCs w:val="20"/>
        </w:rPr>
        <w:t xml:space="preserve">The Land Acquisition Lifecycle</w:t>
      </w:r>
    </w:p>
    <w:tbl>
      <w:tblPr>
        <w:tblW w:type="dxa" w:w="9260"/>
        <w:jc w:val="center"/>
        <w:tblBorders>
          <w:top w:val="single" w:color="auto" w:sz="4"/>
          <w:left w:val="single" w:color="auto" w:sz="4"/>
          <w:bottom w:val="single" w:color="auto" w:sz="4"/>
          <w:right w:val="single" w:color="auto" w:sz="4"/>
          <w:insideH w:val="single" w:color="auto" w:sz="4"/>
          <w:insideV w:val="single" w:color="auto" w:sz="4"/>
        </w:tblBorders>
      </w:tblPr>
      <w:tblGrid>
        <w:gridCol w:w="1310"/>
        <w:gridCol w:w="280"/>
        <w:gridCol w:w="1310"/>
        <w:gridCol w:w="280"/>
        <w:gridCol w:w="1310"/>
        <w:gridCol w:w="280"/>
        <w:gridCol w:w="1310"/>
        <w:gridCol w:w="280"/>
        <w:gridCol w:w="1310"/>
        <w:gridCol w:w="280"/>
        <w:gridCol w:w="1310"/>
      </w:tblGrid>
      <w:tr>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16"/>
                      <w:szCs w:val="16"/>
                    </w:rPr>
                    <w:t xml:space="preserve">Notify &amp;</w:t>
                  </w:r>
                </w:p>
                <w:p>
                  <w:pPr>
                    <w:jc w:val="center"/>
                  </w:pPr>
                  <w:r>
                    <w:rPr>
                      <w:b/>
                      <w:bCs/>
                      <w:sz w:val="16"/>
                      <w:szCs w:val="16"/>
                    </w:rPr>
                    <w:t xml:space="preserve">Survey</w:t>
                  </w:r>
                </w:p>
              </w:tc>
            </w:tr>
          </w:tbl>
          <w:p/>
        </w:tc>
        <w:tc>
          <w:tcPr>
            <w:tcW w:type="dxa" w:w="2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C9971B" w:sz="8"/>
                    <w:left w:val="single" w:color="C9971B" w:sz="8"/>
                    <w:bottom w:val="single" w:color="C9971B" w:sz="8"/>
                    <w:right w:val="single" w:color="C9971B" w:sz="8"/>
                  </w:tcBorders>
                  <w:shd w:fill="FFF3CD" w:color="auto" w:val="clear"/>
                  <w:tcMar>
                    <w:top w:type="dxa" w:w="120"/>
                    <w:left w:type="dxa" w:w="150"/>
                    <w:bottom w:type="dxa" w:w="120"/>
                    <w:right w:type="dxa" w:w="150"/>
                  </w:tcMar>
                  <w:vAlign w:val="center"/>
                </w:tcPr>
                <w:p>
                  <w:pPr>
                    <w:jc w:val="center"/>
                  </w:pPr>
                  <w:r>
                    <w:rPr>
                      <w:b/>
                      <w:bCs/>
                      <w:sz w:val="16"/>
                      <w:szCs w:val="16"/>
                    </w:rPr>
                    <w:t xml:space="preserve">Pay</w:t>
                  </w:r>
                </w:p>
                <w:p>
                  <w:pPr>
                    <w:jc w:val="center"/>
                  </w:pPr>
                  <w:r>
                    <w:rPr>
                      <w:b/>
                      <w:bCs/>
                      <w:sz w:val="16"/>
                      <w:szCs w:val="16"/>
                    </w:rPr>
                    <w:t xml:space="preserve">Comp.</w:t>
                  </w:r>
                </w:p>
              </w:tc>
            </w:tr>
          </w:tbl>
          <w:p/>
        </w:tc>
        <w:tc>
          <w:tcPr>
            <w:tcW w:type="dxa" w:w="2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C0392B" w:sz="8"/>
                    <w:left w:val="single" w:color="C0392B" w:sz="8"/>
                    <w:bottom w:val="single" w:color="C0392B" w:sz="8"/>
                    <w:right w:val="single" w:color="C0392B" w:sz="8"/>
                  </w:tcBorders>
                  <w:shd w:fill="F8D7DA" w:color="auto" w:val="clear"/>
                  <w:tcMar>
                    <w:top w:type="dxa" w:w="120"/>
                    <w:left w:type="dxa" w:w="150"/>
                    <w:bottom w:type="dxa" w:w="120"/>
                    <w:right w:type="dxa" w:w="150"/>
                  </w:tcMar>
                  <w:vAlign w:val="center"/>
                </w:tcPr>
                <w:p>
                  <w:pPr>
                    <w:jc w:val="center"/>
                  </w:pPr>
                  <w:r>
                    <w:rPr>
                      <w:b/>
                      <w:bCs/>
                      <w:sz w:val="16"/>
                      <w:szCs w:val="16"/>
                    </w:rPr>
                    <w:t xml:space="preserve">Legal</w:t>
                  </w:r>
                </w:p>
                <w:p>
                  <w:pPr>
                    <w:jc w:val="center"/>
                  </w:pPr>
                  <w:r>
                    <w:rPr>
                      <w:b/>
                      <w:bCs/>
                      <w:sz w:val="16"/>
                      <w:szCs w:val="16"/>
                    </w:rPr>
                    <w:t xml:space="preserve">Disputes</w:t>
                  </w:r>
                </w:p>
              </w:tc>
            </w:tr>
          </w:tbl>
          <w:p/>
        </w:tc>
        <w:tc>
          <w:tcPr>
            <w:tcW w:type="dxa" w:w="2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C9971B" w:sz="8"/>
                    <w:left w:val="single" w:color="C9971B" w:sz="8"/>
                    <w:bottom w:val="single" w:color="C9971B" w:sz="8"/>
                    <w:right w:val="single" w:color="C9971B" w:sz="8"/>
                  </w:tcBorders>
                  <w:shd w:fill="FFF3CD" w:color="auto" w:val="clear"/>
                  <w:tcMar>
                    <w:top w:type="dxa" w:w="120"/>
                    <w:left w:type="dxa" w:w="150"/>
                    <w:bottom w:type="dxa" w:w="120"/>
                    <w:right w:type="dxa" w:w="150"/>
                  </w:tcMar>
                  <w:vAlign w:val="center"/>
                </w:tcPr>
                <w:p>
                  <w:pPr>
                    <w:jc w:val="center"/>
                  </w:pPr>
                  <w:r>
                    <w:rPr>
                      <w:b/>
                      <w:bCs/>
                      <w:sz w:val="16"/>
                      <w:szCs w:val="16"/>
                    </w:rPr>
                    <w:t xml:space="preserve">Resettle</w:t>
                  </w:r>
                </w:p>
              </w:tc>
            </w:tr>
          </w:tbl>
          <w:p/>
        </w:tc>
        <w:tc>
          <w:tcPr>
            <w:tcW w:type="dxa" w:w="2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16"/>
                      <w:szCs w:val="16"/>
                    </w:rPr>
                    <w:t xml:space="preserve">Hand Over</w:t>
                  </w:r>
                </w:p>
                <w:p>
                  <w:pPr>
                    <w:jc w:val="center"/>
                  </w:pPr>
                  <w:r>
                    <w:rPr>
                      <w:b/>
                      <w:bCs/>
                      <w:sz w:val="16"/>
                      <w:szCs w:val="16"/>
                    </w:rPr>
                    <w:t xml:space="preserve">Land</w:t>
                  </w:r>
                </w:p>
              </w:tc>
            </w:tr>
          </w:tbl>
          <w:p/>
        </w:tc>
        <w:tc>
          <w:tcPr>
            <w:tcW w:type="dxa" w:w="2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1310"/>
            <w:tcBorders>
              <w:top w:val="none" w:color="FFFFFF" w:sz="0"/>
              <w:left w:val="none" w:color="FFFFFF" w:sz="0"/>
              <w:bottom w:val="none" w:color="FFFFFF" w:sz="0"/>
              <w:right w:val="none" w:color="FFFFFF" w:sz="0"/>
            </w:tcBorders>
            <w:vAlign w:val="center"/>
          </w:tcPr>
          <w:tbl>
            <w:tblPr>
              <w:tblW w:type="dxa" w:w="1110"/>
              <w:jc w:val="center"/>
              <w:tblBorders>
                <w:top w:val="single" w:color="auto" w:sz="4"/>
                <w:left w:val="single" w:color="auto" w:sz="4"/>
                <w:bottom w:val="single" w:color="auto" w:sz="4"/>
                <w:right w:val="single" w:color="auto" w:sz="4"/>
                <w:insideH w:val="single" w:color="auto" w:sz="4"/>
                <w:insideV w:val="single" w:color="auto" w:sz="4"/>
              </w:tblBorders>
            </w:tblPr>
            <w:tblGrid>
              <w:gridCol w:w="1110"/>
            </w:tblGrid>
            <w:tr>
              <w:tc>
                <w:tcPr>
                  <w:tcW w:type="dxa" w:w="1110"/>
                  <w:tcBorders>
                    <w:top w:val="single" w:color="2E7D32" w:sz="8"/>
                    <w:left w:val="single" w:color="2E7D32" w:sz="8"/>
                    <w:bottom w:val="single" w:color="2E7D32" w:sz="8"/>
                    <w:right w:val="single" w:color="2E7D32" w:sz="8"/>
                  </w:tcBorders>
                  <w:shd w:fill="D4EDDA" w:color="auto" w:val="clear"/>
                  <w:tcMar>
                    <w:top w:type="dxa" w:w="120"/>
                    <w:left w:type="dxa" w:w="150"/>
                    <w:bottom w:type="dxa" w:w="120"/>
                    <w:right w:type="dxa" w:w="150"/>
                  </w:tcMar>
                  <w:vAlign w:val="center"/>
                </w:tcPr>
                <w:p>
                  <w:pPr>
                    <w:jc w:val="center"/>
                  </w:pPr>
                  <w:r>
                    <w:rPr>
                      <w:b/>
                      <w:bCs/>
                      <w:sz w:val="16"/>
                      <w:szCs w:val="16"/>
                    </w:rPr>
                    <w:t xml:space="preserve">Construct</w:t>
                  </w:r>
                </w:p>
              </w:tc>
            </w:tr>
          </w:tbl>
          <w:p/>
        </w:tc>
      </w:tr>
    </w:tbl>
    <w:p>
      <w:pPr>
        <w:spacing w:after="100" w:before="100"/>
      </w:pPr>
    </w:p>
    <w:p>
      <w:pPr>
        <w:spacing w:after="150"/>
      </w:pPr>
      <w:r>
        <w:rPr>
          <w:i/>
          <w:iCs/>
          <w:color w:val="555555"/>
          <w:sz w:val="20"/>
          <w:szCs w:val="20"/>
        </w:rPr>
        <w:t xml:space="preserve">The yellow and red stages above are where projects most commonly get stuck — often for months at a time — with no early warning to anyone, and no single dashboard showing how many of the state's or country's projects are stuck at each of these stages right now.</w:t>
      </w:r>
    </w:p>
    <w:p>
      <w:pPr>
        <w:pStyle w:val="Heading1"/>
        <w:spacing w:after="150" w:before="300"/>
      </w:pPr>
      <w:r>
        <w:t xml:space="preserve">2. The Problem Statement, Restated Clearly</w:t>
      </w:r>
    </w:p>
    <w:p>
      <w:pPr>
        <w:spacing w:after="150"/>
      </w:pPr>
      <w:r>
        <w:t xml:space="preserve">There is currently no intelligent mechanism capable of identifying, in advance, which land acquisition projects are likely to experience delays. This gap exists despite the fact that large volumes of relevant data already exist — historical land acquisition case files, project timelines, administrative and legal records, compensation and disbursement records, and increasingly, geospatial (GIS) data showing exactly where land parcels and affected families are located.</w:t>
      </w:r>
    </w:p>
    <w:p>
      <w:pPr>
        <w:spacing w:after="150"/>
      </w:pPr>
      <w:r>
        <w:t xml:space="preserve">This is precisely the kind of problem Artificial Intelligence and Machine Learning are well suited to. AI/ML models are good at finding patterns across many past cases that a human reviewing one file at a time would never notice — for example, that projects with more than a certain number of affected families AND an unresolved legal notice AND a compensation delay of more than 90 days have historically taken twice as long to reach possession as projects without that combination of factors. A predictive system built on this kind of pattern-recognition would let planners move from finding out about a problem after it happens to anticipating it while there is still time to act.</w:t>
      </w:r>
    </w:p>
    <w:p>
      <w:pPr>
        <w:pStyle w:val="Heading2"/>
        <w:spacing w:after="150" w:before="300"/>
      </w:pPr>
      <w:r>
        <w:t xml:space="preserve">3. What is Being Asked For (In Plain Words)</w:t>
      </w:r>
    </w:p>
    <w:p>
      <w:pPr>
        <w:spacing w:after="150"/>
      </w:pPr>
      <w:r>
        <w:t xml:space="preserve">Build a smart computer system that looks at past and ongoing land acquisition projects and learns to spot the warning signs of delay before the delay actually happens — the same way a doctor reads symptoms and test results to flag a health risk before it becomes a full-blown illness, rather than only diagnosing it after the patient is already unwell.</w:t>
      </w:r>
    </w:p>
    <w:p>
      <w:pPr>
        <w:spacing w:after="150"/>
      </w:pPr>
      <w:r>
        <w:t xml:space="preserve">In short, the system should be able to answer three questions for every project, at any point in its lifecycle:</w:t>
      </w:r>
    </w:p>
    <w:p>
      <w:pPr>
        <w:pStyle w:val="ListParagraph"/>
        <w:numPr>
          <w:ilvl w:val="0"/>
          <w:numId w:val="1"/>
        </w:numPr>
        <w:spacing w:after="80"/>
      </w:pPr>
      <w:r>
        <w:t xml:space="preserve">Is this project at risk of being delayed? — expressed as a Yes/No flag plus a numeric confidence/risk score, not just a gut feeling</w:t>
      </w:r>
    </w:p>
    <w:p>
      <w:pPr>
        <w:pStyle w:val="ListParagraph"/>
        <w:numPr>
          <w:ilvl w:val="0"/>
          <w:numId w:val="1"/>
        </w:numPr>
        <w:spacing w:after="80"/>
      </w:pPr>
      <w:r>
        <w:t xml:space="preserve">Why is it at risk? — the specific, named factors driving that risk (e.g., compensation not paid for 4 months, a court case pending on ownership, resettlement lagging behind schedule)</w:t>
      </w:r>
    </w:p>
    <w:p>
      <w:pPr>
        <w:pStyle w:val="ListParagraph"/>
        <w:numPr>
          <w:ilvl w:val="0"/>
          <w:numId w:val="1"/>
        </w:numPr>
        <w:spacing w:after="80"/>
      </w:pPr>
      <w:r>
        <w:t xml:space="preserve">What should be done about it? — a concrete, actionable recommendation tailored to the actual cause, not a generic warning that simply says "delay likely"</w:t>
      </w:r>
    </w:p>
    <w:p>
      <w:pPr>
        <w:spacing w:after="150"/>
      </w:pPr>
      <w:r>
        <w:t xml:space="preserve">Answering all three — not just the first — is what separates a genuinely useful decision-support tool from a simple alarm bell. A system that only flags risk without explaining why, or without suggesting what to do, still leaves the hardest part of the job to the human official.</w:t>
      </w:r>
    </w:p>
    <w:p>
      <w:pPr>
        <w:pStyle w:val="Heading1"/>
        <w:spacing w:after="150" w:before="300"/>
      </w:pPr>
      <w:r>
        <w:t xml:space="preserve">4. How the System Would Actually Work (End-to-End)</w:t>
      </w:r>
    </w:p>
    <w:p>
      <w:pPr>
        <w:spacing w:after="150"/>
      </w:pPr>
      <w:r>
        <w:t xml:space="preserve">It helps to think of the system as a pipeline with five stages: collect data, learn patterns, score risk, explain and recommend, then act and feed results back in. Each stage is described below, followed by the full flow.</w:t>
      </w:r>
    </w:p>
    <w:p>
      <w:pPr>
        <w:pStyle w:val="ListParagraph"/>
        <w:numPr>
          <w:ilvl w:val="0"/>
          <w:numId w:val="1"/>
        </w:numPr>
        <w:spacing w:after="80"/>
      </w:pPr>
      <w:r>
        <w:t xml:space="preserve">Data collection: the system continuously pulls in data from land records systems, compensation and treasury records, court/legal case trackers, and field survey updates — both historical (completed projects) and real-time (ongoing projects).</w:t>
      </w:r>
    </w:p>
    <w:p>
      <w:pPr>
        <w:pStyle w:val="ListParagraph"/>
        <w:numPr>
          <w:ilvl w:val="0"/>
          <w:numId w:val="1"/>
        </w:numPr>
        <w:spacing w:after="80"/>
      </w:pPr>
      <w:r>
        <w:t xml:space="preserve">Pattern learning: a machine learning model is trained on the historical data, learning which combinations of factors have, in the past, actually led to delays versus on-time completion.</w:t>
      </w:r>
    </w:p>
    <w:p>
      <w:pPr>
        <w:pStyle w:val="ListParagraph"/>
        <w:numPr>
          <w:ilvl w:val="0"/>
          <w:numId w:val="1"/>
        </w:numPr>
        <w:spacing w:after="80"/>
      </w:pPr>
      <w:r>
        <w:t xml:space="preserve">Risk scoring: the trained model is applied to every ongoing project, producing a numeric risk score and a risk category (low / medium / high).</w:t>
      </w:r>
    </w:p>
    <w:p>
      <w:pPr>
        <w:pStyle w:val="ListParagraph"/>
        <w:numPr>
          <w:ilvl w:val="0"/>
          <w:numId w:val="1"/>
        </w:numPr>
        <w:spacing w:after="80"/>
      </w:pPr>
      <w:r>
        <w:t xml:space="preserve">Explanation and recommendation: for any project flagged as risky, the system identifies which specific factors are driving that score and suggests a corrective action matched to those factors.</w:t>
      </w:r>
    </w:p>
    <w:p>
      <w:pPr>
        <w:pStyle w:val="ListParagraph"/>
        <w:numPr>
          <w:ilvl w:val="0"/>
          <w:numId w:val="1"/>
        </w:numPr>
        <w:spacing w:after="80"/>
      </w:pPr>
      <w:r>
        <w:t xml:space="preserve">Action and feedback: officials act on the recommendation; the eventual outcome (delayed or on-time) is recorded and fed back into the training data, so the model's accuracy improves with every project it observes.</w:t>
      </w:r>
    </w:p>
    <w:p>
      <w:pPr>
        <w:spacing w:after="100" w:before="100"/>
      </w:pP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Historical + Real-Time Project Data</w:t>
            </w:r>
          </w:p>
        </w:tc>
      </w:tr>
    </w:tbl>
    <w:p>
      <w:pPr>
        <w:spacing w:after="40" w:before="40"/>
        <w:jc w:val="center"/>
      </w:pPr>
      <w:r>
        <w:rPr>
          <w:b/>
          <w:bCs/>
          <w:color w:val="555555"/>
          <w:sz w:val="32"/>
          <w:szCs w:val="32"/>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Data Collected: land area, families affected,</w:t>
            </w:r>
          </w:p>
          <w:p>
            <w:pPr>
              <w:jc w:val="center"/>
            </w:pPr>
            <w:r>
              <w:rPr>
                <w:b/>
                <w:bCs/>
                <w:sz w:val="20"/>
                <w:szCs w:val="20"/>
              </w:rPr>
              <w:t xml:space="preserve">compensation status, approvals, legal disputes, rehab progress</w:t>
            </w:r>
          </w:p>
        </w:tc>
      </w:tr>
    </w:tbl>
    <w:p>
      <w:pPr>
        <w:spacing w:after="40" w:before="40"/>
        <w:jc w:val="center"/>
      </w:pPr>
      <w:r>
        <w:rPr>
          <w:b/>
          <w:bCs/>
          <w:color w:val="555555"/>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D32" w:sz="8"/>
              <w:left w:val="single" w:color="2E7D32" w:sz="8"/>
              <w:bottom w:val="single" w:color="2E7D32" w:sz="8"/>
              <w:right w:val="single" w:color="2E7D32" w:sz="8"/>
            </w:tcBorders>
            <w:shd w:fill="D4EDDA" w:color="auto" w:val="clear"/>
            <w:tcMar>
              <w:top w:type="dxa" w:w="120"/>
              <w:left w:type="dxa" w:w="150"/>
              <w:bottom w:type="dxa" w:w="120"/>
              <w:right w:type="dxa" w:w="150"/>
            </w:tcMar>
            <w:vAlign w:val="center"/>
          </w:tcPr>
          <w:p>
            <w:pPr>
              <w:jc w:val="center"/>
            </w:pPr>
            <w:r>
              <w:rPr>
                <w:b/>
                <w:bCs/>
                <w:sz w:val="20"/>
                <w:szCs w:val="20"/>
              </w:rPr>
              <w:t xml:space="preserve">Machine Learning Model learns delay patterns</w:t>
            </w:r>
          </w:p>
        </w:tc>
      </w:tr>
    </w:tbl>
    <w:p>
      <w:pPr>
        <w:spacing w:after="40" w:before="40"/>
        <w:jc w:val="center"/>
      </w:pPr>
      <w:r>
        <w:rPr>
          <w:b/>
          <w:bCs/>
          <w:color w:val="555555"/>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Risk Score generated for each project</w:t>
            </w:r>
          </w:p>
        </w:tc>
      </w:tr>
    </w:tbl>
    <w:p>
      <w:pPr>
        <w:spacing w:after="40" w:before="40"/>
        <w:jc w:val="center"/>
      </w:pPr>
      <w:r>
        <w:rPr>
          <w:b/>
          <w:bCs/>
          <w:color w:val="555555"/>
          <w:sz w:val="32"/>
          <w:szCs w:val="32"/>
        </w:rPr>
        <w:t xml:space="preserve">↓</w:t>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2600"/>
        <w:gridCol w:w="380"/>
        <w:gridCol w:w="2600"/>
      </w:tblGrid>
      <w:tr>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8"/>
                    <w:left w:val="single" w:color="C0392B" w:sz="8"/>
                    <w:bottom w:val="single" w:color="C0392B" w:sz="8"/>
                    <w:right w:val="single" w:color="C0392B" w:sz="8"/>
                  </w:tcBorders>
                  <w:shd w:fill="F8D7DA" w:color="auto" w:val="clear"/>
                  <w:tcMar>
                    <w:top w:type="dxa" w:w="120"/>
                    <w:left w:type="dxa" w:w="150"/>
                    <w:bottom w:type="dxa" w:w="120"/>
                    <w:right w:type="dxa" w:w="150"/>
                  </w:tcMar>
                  <w:vAlign w:val="center"/>
                </w:tcPr>
                <w:p>
                  <w:pPr>
                    <w:jc w:val="center"/>
                  </w:pPr>
                  <w:r>
                    <w:rPr>
                      <w:b/>
                      <w:bCs/>
                      <w:sz w:val="20"/>
                      <w:szCs w:val="20"/>
                    </w:rPr>
                    <w:t xml:space="preserve">High Risk</w:t>
                  </w:r>
                </w:p>
                <w:p>
                  <w:pPr>
                    <w:jc w:val="center"/>
                  </w:pPr>
                  <w:r>
                    <w:rPr>
                      <w:b/>
                      <w:bCs/>
                      <w:sz w:val="20"/>
                      <w:szCs w:val="20"/>
                    </w:rPr>
                    <w:t xml:space="preserve">→ Alert sent to officials</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9971B" w:sz="8"/>
                    <w:left w:val="single" w:color="C9971B" w:sz="8"/>
                    <w:bottom w:val="single" w:color="C9971B" w:sz="8"/>
                    <w:right w:val="single" w:color="C9971B" w:sz="8"/>
                  </w:tcBorders>
                  <w:shd w:fill="FFF3CD" w:color="auto" w:val="clear"/>
                  <w:tcMar>
                    <w:top w:type="dxa" w:w="120"/>
                    <w:left w:type="dxa" w:w="150"/>
                    <w:bottom w:type="dxa" w:w="120"/>
                    <w:right w:type="dxa" w:w="150"/>
                  </w:tcMar>
                  <w:vAlign w:val="center"/>
                </w:tcPr>
                <w:p>
                  <w:pPr>
                    <w:jc w:val="center"/>
                  </w:pPr>
                  <w:r>
                    <w:rPr>
                      <w:b/>
                      <w:bCs/>
                      <w:sz w:val="20"/>
                      <w:szCs w:val="20"/>
                    </w:rPr>
                    <w:t xml:space="preserve">Medium Risk</w:t>
                  </w:r>
                </w:p>
                <w:p>
                  <w:pPr>
                    <w:jc w:val="center"/>
                  </w:pPr>
                  <w:r>
                    <w:rPr>
                      <w:b/>
                      <w:bCs/>
                      <w:sz w:val="20"/>
                      <w:szCs w:val="20"/>
                    </w:rPr>
                    <w:t xml:space="preserve">→ Flagged on dashboard</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Low Risk</w:t>
                  </w:r>
                </w:p>
                <w:p>
                  <w:pPr>
                    <w:jc w:val="center"/>
                  </w:pPr>
                  <w:r>
                    <w:rPr>
                      <w:b/>
                      <w:bCs/>
                      <w:sz w:val="20"/>
                      <w:szCs w:val="20"/>
                    </w:rPr>
                    <w:t xml:space="preserve">→ Routine tracking</w:t>
                  </w:r>
                </w:p>
              </w:tc>
            </w:tr>
          </w:tbl>
          <w:p/>
        </w:tc>
      </w:tr>
    </w:tbl>
    <w:p>
      <w:pPr>
        <w:spacing w:after="40" w:before="40"/>
        <w:jc w:val="center"/>
      </w:pPr>
      <w:r>
        <w:rPr>
          <w:b/>
          <w:bCs/>
          <w:color w:val="555555"/>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D47A1" w:sz="8"/>
              <w:left w:val="single" w:color="0D47A1" w:sz="8"/>
              <w:bottom w:val="single" w:color="0D47A1" w:sz="8"/>
              <w:right w:val="single" w:color="0D47A1" w:sz="8"/>
            </w:tcBorders>
            <w:shd w:fill="CFE2FF" w:color="auto" w:val="clear"/>
            <w:tcMar>
              <w:top w:type="dxa" w:w="120"/>
              <w:left w:type="dxa" w:w="150"/>
              <w:bottom w:type="dxa" w:w="120"/>
              <w:right w:type="dxa" w:w="150"/>
            </w:tcMar>
            <w:vAlign w:val="center"/>
          </w:tcPr>
          <w:p>
            <w:pPr>
              <w:jc w:val="center"/>
            </w:pPr>
            <w:r>
              <w:rPr>
                <w:b/>
                <w:bCs/>
                <w:sz w:val="20"/>
                <w:szCs w:val="20"/>
              </w:rPr>
              <w:t xml:space="preserve">Explainable AI shows WHY it's high risk → System suggests corrective action</w:t>
            </w:r>
          </w:p>
        </w:tc>
      </w:tr>
    </w:tbl>
    <w:p>
      <w:pPr>
        <w:spacing w:after="40" w:before="40"/>
        <w:jc w:val="center"/>
      </w:pPr>
      <w:r>
        <w:rPr>
          <w:b/>
          <w:bCs/>
          <w:color w:val="555555"/>
          <w:sz w:val="32"/>
          <w:szCs w:val="32"/>
        </w:rPr>
        <w:t xml:space="preserve">↓</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D32" w:sz="8"/>
              <w:left w:val="single" w:color="2E7D32" w:sz="8"/>
              <w:bottom w:val="single" w:color="2E7D32" w:sz="8"/>
              <w:right w:val="single" w:color="2E7D32" w:sz="8"/>
            </w:tcBorders>
            <w:shd w:fill="D4EDDA" w:color="auto" w:val="clear"/>
            <w:tcMar>
              <w:top w:type="dxa" w:w="120"/>
              <w:left w:type="dxa" w:w="150"/>
              <w:bottom w:type="dxa" w:w="120"/>
              <w:right w:type="dxa" w:w="150"/>
            </w:tcMar>
            <w:vAlign w:val="center"/>
          </w:tcPr>
          <w:p>
            <w:pPr>
              <w:jc w:val="center"/>
            </w:pPr>
            <w:r>
              <w:rPr>
                <w:b/>
                <w:bCs/>
                <w:sz w:val="20"/>
                <w:szCs w:val="20"/>
              </w:rPr>
              <w:t xml:space="preserve">Officials act early → Delay prevented</w:t>
            </w:r>
          </w:p>
        </w:tc>
      </w:tr>
    </w:tbl>
    <w:p>
      <w:pPr>
        <w:spacing w:after="40" w:before="40"/>
        <w:jc w:val="center"/>
      </w:pPr>
      <w:r>
        <w:rPr>
          <w:b/>
          <w:bCs/>
          <w:color w:val="555555"/>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D47A1" w:sz="8"/>
              <w:left w:val="single" w:color="0D47A1" w:sz="8"/>
              <w:bottom w:val="single" w:color="0D47A1" w:sz="8"/>
              <w:right w:val="single" w:color="0D47A1" w:sz="8"/>
            </w:tcBorders>
            <w:shd w:fill="CFE2FF" w:color="auto" w:val="clear"/>
            <w:tcMar>
              <w:top w:type="dxa" w:w="120"/>
              <w:left w:type="dxa" w:w="150"/>
              <w:bottom w:type="dxa" w:w="120"/>
              <w:right w:type="dxa" w:w="150"/>
            </w:tcMar>
            <w:vAlign w:val="center"/>
          </w:tcPr>
          <w:p>
            <w:pPr>
              <w:jc w:val="center"/>
            </w:pPr>
            <w:r>
              <w:rPr>
                <w:b/>
                <w:bCs/>
                <w:sz w:val="20"/>
                <w:szCs w:val="20"/>
              </w:rPr>
              <w:t xml:space="preserve">New outcome data feeds back into the model (continuous learning loop)</w:t>
            </w:r>
          </w:p>
        </w:tc>
      </w:tr>
    </w:tbl>
    <w:p>
      <w:pPr>
        <w:spacing w:after="100" w:before="100"/>
      </w:pPr>
    </w:p>
    <w:p>
      <w:pPr>
        <w:spacing w:after="150"/>
      </w:pPr>
      <w:r>
        <w:rPr>
          <w:i/>
          <w:iCs/>
          <w:color w:val="555555"/>
          <w:sz w:val="20"/>
          <w:szCs w:val="20"/>
        </w:rPr>
        <w:t xml:space="preserve">The important part is the loop at the bottom: every time a project actually gets delayed or completes on time, that real outcome is fed back into the model, so the system keeps getting smarter over time. It never stays "frozen" — it learns continuously.</w:t>
      </w:r>
    </w:p>
    <w:p>
      <w:pPr>
        <w:pStyle w:val="Heading1"/>
        <w:spacing w:after="150" w:before="300"/>
      </w:pPr>
      <w:r>
        <w:t xml:space="preserve">5. What "Risk Scoring" Actually Means</w:t>
      </w:r>
    </w:p>
    <w:p>
      <w:pPr>
        <w:spacing w:after="150"/>
      </w:pPr>
      <w:r>
        <w:t xml:space="preserve">Think of it like a credit score, but for a land acquisition project instead of a person. A credit score takes many pieces of financial history and boils them down into one number that tells a lender how risky a borrower is. In the same way, this system takes many pieces of a project's status and history and boils them down into one number that tells an official how worried they should be about that project missing its timeline.</w:t>
      </w:r>
    </w:p>
    <w:p>
      <w:pPr>
        <w:spacing w:after="150"/>
      </w:pPr>
      <w:r>
        <w:t xml:space="preserve">Machine learning models suited to this kind of structured, tabular data — such as gradient-boosted decision trees (e.g., XGBoost/LightGBM) or random forests — are typically strong performers here, because they handle a mix of numeric fields (land area, number of families, days pending) and categorical fields (project type, state, dispute status) well, and they cope gracefully with missing or incomplete records, which are common in government datasets. For time-based prediction (how many more days until possession, for instance), sequence-aware models such as survival analysis or recurrent neural networks can be layered on top.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2E4057" w:color="auto" w:val="clear"/>
          </w:tcPr>
          <w:p>
            <w:r>
              <w:rPr>
                <w:b/>
                <w:bCs/>
                <w:color w:val="FFFFFF"/>
                <w:sz w:val="20"/>
                <w:szCs w:val="20"/>
              </w:rPr>
              <w:t xml:space="preserve">Factors the Model Looks At</w:t>
            </w:r>
          </w:p>
        </w:tc>
      </w:tr>
      <w:tr>
        <w:tc>
          <w:tcPr>
            <w:tcW w:type="dxa" w:w="8000"/>
            <w:shd w:fill="FFFFFF" w:color="auto" w:val="clear"/>
          </w:tcPr>
          <w:p>
            <w:r>
              <w:rPr>
                <w:sz w:val="20"/>
                <w:szCs w:val="20"/>
              </w:rPr>
              <w:t xml:space="preserve">Project type &amp; size</w:t>
            </w:r>
          </w:p>
        </w:tc>
      </w:tr>
      <w:tr>
        <w:tc>
          <w:tcPr>
            <w:tcW w:type="dxa" w:w="8000"/>
            <w:shd w:fill="F5F5F5" w:color="auto" w:val="clear"/>
          </w:tcPr>
          <w:p>
            <w:r>
              <w:rPr>
                <w:sz w:val="20"/>
                <w:szCs w:val="20"/>
              </w:rPr>
              <w:t xml:space="preserve">Number of affected families</w:t>
            </w:r>
          </w:p>
        </w:tc>
      </w:tr>
      <w:tr>
        <w:tc>
          <w:tcPr>
            <w:tcW w:type="dxa" w:w="8000"/>
            <w:shd w:fill="FFFFFF" w:color="auto" w:val="clear"/>
          </w:tcPr>
          <w:p>
            <w:r>
              <w:rPr>
                <w:sz w:val="20"/>
                <w:szCs w:val="20"/>
              </w:rPr>
              <w:t xml:space="preserve">Compensation payment status</w:t>
            </w:r>
          </w:p>
        </w:tc>
      </w:tr>
      <w:tr>
        <w:tc>
          <w:tcPr>
            <w:tcW w:type="dxa" w:w="8000"/>
            <w:shd w:fill="F5F5F5" w:color="auto" w:val="clear"/>
          </w:tcPr>
          <w:p>
            <w:r>
              <w:rPr>
                <w:sz w:val="20"/>
                <w:szCs w:val="20"/>
              </w:rPr>
              <w:t xml:space="preserve">Approval timelines so far</w:t>
            </w:r>
          </w:p>
        </w:tc>
      </w:tr>
      <w:tr>
        <w:tc>
          <w:tcPr>
            <w:tcW w:type="dxa" w:w="8000"/>
            <w:shd w:fill="FFFFFF" w:color="auto" w:val="clear"/>
          </w:tcPr>
          <w:p>
            <w:r>
              <w:rPr>
                <w:sz w:val="20"/>
                <w:szCs w:val="20"/>
              </w:rPr>
              <w:t xml:space="preserve">Legal disputes pending</w:t>
            </w:r>
          </w:p>
        </w:tc>
      </w:tr>
      <w:tr>
        <w:tc>
          <w:tcPr>
            <w:tcW w:type="dxa" w:w="8000"/>
            <w:shd w:fill="F5F5F5" w:color="auto" w:val="clear"/>
          </w:tcPr>
          <w:p>
            <w:r>
              <w:rPr>
                <w:sz w:val="20"/>
                <w:szCs w:val="20"/>
              </w:rPr>
              <w:t xml:space="preserve">Possession status</w:t>
            </w:r>
          </w:p>
        </w:tc>
      </w:tr>
      <w:tr>
        <w:tc>
          <w:tcPr>
            <w:tcW w:type="dxa" w:w="8000"/>
            <w:shd w:fill="FFFFFF" w:color="auto" w:val="clear"/>
          </w:tcPr>
          <w:p>
            <w:r>
              <w:rPr>
                <w:sz w:val="20"/>
                <w:szCs w:val="20"/>
              </w:rPr>
              <w:t xml:space="preserve">Rehabilitation progress</w:t>
            </w:r>
          </w:p>
        </w:tc>
      </w:tr>
      <w:tr>
        <w:tc>
          <w:tcPr>
            <w:tcW w:type="dxa" w:w="8000"/>
            <w:shd w:fill="F5F5F5" w:color="auto" w:val="clear"/>
          </w:tcPr>
          <w:p>
            <w:r>
              <w:rPr>
                <w:sz w:val="20"/>
                <w:szCs w:val="20"/>
              </w:rPr>
              <w:t xml:space="preserve">Stakeholder responsiveness</w:t>
            </w:r>
          </w:p>
        </w:tc>
      </w:tr>
      <w:tr>
        <w:tc>
          <w:tcPr>
            <w:tcW w:type="dxa" w:w="8000"/>
            <w:shd w:fill="FFFFFF" w:color="auto" w:val="clear"/>
          </w:tcPr>
          <w:p>
            <w:r>
              <w:rPr>
                <w:sz w:val="20"/>
                <w:szCs w:val="20"/>
              </w:rPr>
              <w:t xml:space="preserve">Past performance in this district</w:t>
            </w:r>
          </w:p>
        </w:tc>
      </w:tr>
    </w:tbl>
    <w:p>
      <w:pPr>
        <w:spacing w:after="100" w:before="100"/>
      </w:pP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2600"/>
        <w:gridCol w:w="380"/>
        <w:gridCol w:w="2600"/>
      </w:tblGrid>
      <w:tr>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D32" w:sz="8"/>
                    <w:left w:val="single" w:color="2E7D32" w:sz="8"/>
                    <w:bottom w:val="single" w:color="2E7D32" w:sz="8"/>
                    <w:right w:val="single" w:color="2E7D32" w:sz="8"/>
                  </w:tcBorders>
                  <w:shd w:fill="D4EDDA" w:color="auto" w:val="clear"/>
                  <w:tcMar>
                    <w:top w:type="dxa" w:w="120"/>
                    <w:left w:type="dxa" w:w="150"/>
                    <w:bottom w:type="dxa" w:w="120"/>
                    <w:right w:type="dxa" w:w="150"/>
                  </w:tcMar>
                  <w:vAlign w:val="center"/>
                </w:tcPr>
                <w:p>
                  <w:pPr>
                    <w:jc w:val="center"/>
                  </w:pPr>
                  <w:r>
                    <w:rPr>
                      <w:b/>
                      <w:bCs/>
                      <w:sz w:val="20"/>
                      <w:szCs w:val="20"/>
                    </w:rPr>
                    <w:t xml:space="preserve">0–40</w:t>
                  </w:r>
                </w:p>
                <w:p>
                  <w:pPr>
                    <w:jc w:val="center"/>
                  </w:pPr>
                  <w:r>
                    <w:rPr>
                      <w:b/>
                      <w:bCs/>
                      <w:sz w:val="20"/>
                      <w:szCs w:val="20"/>
                    </w:rPr>
                    <w:t xml:space="preserve">Low Risk</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9971B" w:sz="8"/>
                    <w:left w:val="single" w:color="C9971B" w:sz="8"/>
                    <w:bottom w:val="single" w:color="C9971B" w:sz="8"/>
                    <w:right w:val="single" w:color="C9971B" w:sz="8"/>
                  </w:tcBorders>
                  <w:shd w:fill="FFF3CD" w:color="auto" w:val="clear"/>
                  <w:tcMar>
                    <w:top w:type="dxa" w:w="120"/>
                    <w:left w:type="dxa" w:w="150"/>
                    <w:bottom w:type="dxa" w:w="120"/>
                    <w:right w:type="dxa" w:w="150"/>
                  </w:tcMar>
                  <w:vAlign w:val="center"/>
                </w:tcPr>
                <w:p>
                  <w:pPr>
                    <w:jc w:val="center"/>
                  </w:pPr>
                  <w:r>
                    <w:rPr>
                      <w:b/>
                      <w:bCs/>
                      <w:sz w:val="20"/>
                      <w:szCs w:val="20"/>
                    </w:rPr>
                    <w:t xml:space="preserve">41–70</w:t>
                  </w:r>
                </w:p>
                <w:p>
                  <w:pPr>
                    <w:jc w:val="center"/>
                  </w:pPr>
                  <w:r>
                    <w:rPr>
                      <w:b/>
                      <w:bCs/>
                      <w:sz w:val="20"/>
                      <w:szCs w:val="20"/>
                    </w:rPr>
                    <w:t xml:space="preserve">Medium Risk</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600"/>
            <w:tcBorders>
              <w:top w:val="none" w:color="FFFFFF" w:sz="0"/>
              <w:left w:val="none" w:color="FFFFFF" w:sz="0"/>
              <w:bottom w:val="none" w:color="FFFFFF" w:sz="0"/>
              <w:right w:val="none" w:color="FFFFFF" w:sz="0"/>
            </w:tcBorders>
            <w:vAlign w:val="center"/>
          </w:tcPr>
          <w:tbl>
            <w:tblPr>
              <w:tblW w:type="dxa" w:w="2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8"/>
                    <w:left w:val="single" w:color="C0392B" w:sz="8"/>
                    <w:bottom w:val="single" w:color="C0392B" w:sz="8"/>
                    <w:right w:val="single" w:color="C0392B" w:sz="8"/>
                  </w:tcBorders>
                  <w:shd w:fill="F8D7DA" w:color="auto" w:val="clear"/>
                  <w:tcMar>
                    <w:top w:type="dxa" w:w="120"/>
                    <w:left w:type="dxa" w:w="150"/>
                    <w:bottom w:type="dxa" w:w="120"/>
                    <w:right w:type="dxa" w:w="150"/>
                  </w:tcMar>
                  <w:vAlign w:val="center"/>
                </w:tcPr>
                <w:p>
                  <w:pPr>
                    <w:jc w:val="center"/>
                  </w:pPr>
                  <w:r>
                    <w:rPr>
                      <w:b/>
                      <w:bCs/>
                      <w:sz w:val="20"/>
                      <w:szCs w:val="20"/>
                    </w:rPr>
                    <w:t xml:space="preserve">71–100</w:t>
                  </w:r>
                </w:p>
                <w:p>
                  <w:pPr>
                    <w:jc w:val="center"/>
                  </w:pPr>
                  <w:r>
                    <w:rPr>
                      <w:b/>
                      <w:bCs/>
                      <w:sz w:val="20"/>
                      <w:szCs w:val="20"/>
                    </w:rPr>
                    <w:t xml:space="preserve">High Risk</w:t>
                  </w:r>
                </w:p>
              </w:tc>
            </w:tr>
          </w:tbl>
          <w:p/>
        </w:tc>
      </w:tr>
    </w:tbl>
    <w:p>
      <w:pPr>
        <w:spacing w:after="100" w:before="100"/>
      </w:pPr>
    </w:p>
    <w:p>
      <w:pPr>
        <w:spacing w:after="150"/>
      </w:pPr>
      <w:r>
        <w:t xml:space="preserve">Alongside the score, the system uses Explainable AI techniques (such as SHAP values or LIME) — meaning it doesn't just say "72% risk," it also says which factors pushed that score up, and by how much (e.g., 60% of the risk contribution comes from unresolved legal disputes, 25% from delayed compensation, the rest from a slower-than-average district). This matters enormously in a government setting: officials will not act on — and auditors will not accept — a decision driven by an unexplained black-box number. Explainability is what turns a prediction into something people can actually trust, question, and act on.</w:t>
      </w:r>
    </w:p>
    <w:p>
      <w:pPr>
        <w:pStyle w:val="Heading1"/>
        <w:spacing w:after="150" w:before="300"/>
      </w:pPr>
      <w:r>
        <w:t xml:space="preserve">6. What the Dashboard Gives to Decision-Makers</w:t>
      </w:r>
    </w:p>
    <w:p>
      <w:pPr>
        <w:spacing w:after="150"/>
      </w:pPr>
      <w:r>
        <w:t xml:space="preserve">Instead of an official manually calling ten different departments to check status, the dashboard puts everything into one screen, with several complementary views:</w:t>
      </w:r>
    </w:p>
    <w:p>
      <w:pPr>
        <w:pStyle w:val="ListParagraph"/>
        <w:numPr>
          <w:ilvl w:val="0"/>
          <w:numId w:val="1"/>
        </w:numPr>
        <w:spacing w:after="80"/>
      </w:pPr>
      <w:r>
        <w:rPr>
          <w:b/>
          <w:bCs/>
        </w:rPr>
        <w:t xml:space="preserve">Map View: </w:t>
      </w:r>
      <w:r>
        <w:t xml:space="preserve">High-risk projects plotted directly on a GIS (geographic information system) map, so officials can see clusters of risk geographically — for example, all delayed projects in a particular river basin or corridor — rather than just as rows in a spreadsheet</w:t>
      </w:r>
    </w:p>
    <w:p>
      <w:pPr>
        <w:pStyle w:val="ListParagraph"/>
        <w:numPr>
          <w:ilvl w:val="0"/>
          <w:numId w:val="1"/>
        </w:numPr>
        <w:spacing w:after="80"/>
      </w:pPr>
      <w:r>
        <w:rPr>
          <w:b/>
          <w:bCs/>
        </w:rPr>
        <w:t xml:space="preserve">Trend View: </w:t>
      </w:r>
      <w:r>
        <w:t xml:space="preserve">Delay patterns aggregated by District and State over time, revealing whether a particular region has a systemic bottleneck (e.g., consistently slow legal disposal) rather than a one-off issue</w:t>
      </w:r>
    </w:p>
    <w:p>
      <w:pPr>
        <w:pStyle w:val="ListParagraph"/>
        <w:numPr>
          <w:ilvl w:val="0"/>
          <w:numId w:val="1"/>
        </w:numPr>
        <w:spacing w:after="80"/>
      </w:pPr>
      <w:r>
        <w:rPr>
          <w:b/>
          <w:bCs/>
        </w:rPr>
        <w:t xml:space="preserve">Project View: </w:t>
      </w:r>
      <w:r>
        <w:t xml:space="preserve">A drill-down for any single project showing its risk score, the specific key drivers behind that score, and the system's recommended corrective actions</w:t>
      </w:r>
    </w:p>
    <w:p>
      <w:pPr>
        <w:pStyle w:val="ListParagraph"/>
        <w:numPr>
          <w:ilvl w:val="0"/>
          <w:numId w:val="1"/>
        </w:numPr>
        <w:spacing w:after="80"/>
      </w:pPr>
      <w:r>
        <w:rPr>
          <w:b/>
          <w:bCs/>
        </w:rPr>
        <w:t xml:space="preserve">Comparative View: </w:t>
      </w:r>
      <w:r>
        <w:t xml:space="preserve">How a given project compares against similar past projects — same type, similar size, same district — to give officials a reference point for what "normal" progress looks like</w:t>
      </w:r>
    </w:p>
    <w:p>
      <w:pPr>
        <w:pStyle w:val="ListParagraph"/>
        <w:numPr>
          <w:ilvl w:val="0"/>
          <w:numId w:val="1"/>
        </w:numPr>
        <w:spacing w:after="80"/>
      </w:pPr>
      <w:r>
        <w:rPr>
          <w:b/>
          <w:bCs/>
        </w:rPr>
        <w:t xml:space="preserve">Performance Indicators: </w:t>
      </w:r>
      <w:r>
        <w:t xml:space="preserve">Aggregate KPIs such as average time-to-possession, percentage of projects on-track, and compensation disbursement rates, useful for senior leadership reviews</w:t>
      </w:r>
    </w:p>
    <w:p>
      <w:pPr>
        <w:spacing w:after="150"/>
      </w:pPr>
      <w:r>
        <w:t xml:space="preserve">All these views feed into one goal: helping officials prioritize which of potentially hundreds of ongoing projects need urgent attention right now, and take corrective action before a delay actually occurs — rather than discovering the problem in next quarter's review meeting. The system also supports automated alerts and notifications, pushed directly to the responsible project manager or administrator the moment a project crosses into high-risk territory, so intervention doesn't depend on someone remembering to check the dashboard.</w:t>
      </w:r>
    </w:p>
    <w:p>
      <w:pPr>
        <w:pStyle w:val="Heading1"/>
        <w:spacing w:after="150" w:before="300"/>
      </w:pPr>
      <w:r>
        <w:t xml:space="preserve">7. Suggested Components and Underlying Technology</w:t>
      </w:r>
    </w:p>
    <w:p>
      <w:pPr>
        <w:spacing w:after="150"/>
      </w:pPr>
      <w:r>
        <w:t xml:space="preserve">While the exact stack can vary, a system like this is typically built from the following layers, each solving a distinct part of the problem: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c>
          <w:tcPr>
            <w:tcW w:type="dxa" w:w="2400"/>
            <w:shd w:fill="2E4057" w:color="auto" w:val="clear"/>
          </w:tcPr>
          <w:p>
            <w:r>
              <w:rPr>
                <w:b/>
                <w:bCs/>
                <w:color w:val="FFFFFF"/>
                <w:sz w:val="20"/>
                <w:szCs w:val="20"/>
              </w:rPr>
              <w:t xml:space="preserve">Component</w:t>
            </w:r>
          </w:p>
        </w:tc>
        <w:tc>
          <w:tcPr>
            <w:tcW w:type="dxa" w:w="3400"/>
            <w:shd w:fill="2E4057" w:color="auto" w:val="clear"/>
          </w:tcPr>
          <w:p>
            <w:r>
              <w:rPr>
                <w:b/>
                <w:bCs/>
                <w:color w:val="FFFFFF"/>
                <w:sz w:val="20"/>
                <w:szCs w:val="20"/>
              </w:rPr>
              <w:t xml:space="preserve">Purpose</w:t>
            </w:r>
          </w:p>
        </w:tc>
        <w:tc>
          <w:tcPr>
            <w:tcW w:type="dxa" w:w="3700"/>
            <w:shd w:fill="2E4057" w:color="auto" w:val="clear"/>
          </w:tcPr>
          <w:p>
            <w:r>
              <w:rPr>
                <w:b/>
                <w:bCs/>
                <w:color w:val="FFFFFF"/>
                <w:sz w:val="20"/>
                <w:szCs w:val="20"/>
              </w:rPr>
              <w:t xml:space="preserve">Typical Technology</w:t>
            </w:r>
          </w:p>
        </w:tc>
      </w:tr>
      <w:tr>
        <w:tc>
          <w:tcPr>
            <w:tcW w:type="dxa" w:w="2400"/>
            <w:shd w:fill="FFFFFF" w:color="auto" w:val="clear"/>
          </w:tcPr>
          <w:p>
            <w:r>
              <w:rPr>
                <w:sz w:val="20"/>
                <w:szCs w:val="20"/>
              </w:rPr>
              <w:t xml:space="preserve">Data ingestion &amp; integration</w:t>
            </w:r>
          </w:p>
        </w:tc>
        <w:tc>
          <w:tcPr>
            <w:tcW w:type="dxa" w:w="3400"/>
            <w:shd w:fill="FFFFFF" w:color="auto" w:val="clear"/>
          </w:tcPr>
          <w:p>
            <w:r>
              <w:rPr>
                <w:sz w:val="20"/>
                <w:szCs w:val="20"/>
              </w:rPr>
              <w:t xml:space="preserve">Pull data from land records, treasury/compensation systems, court trackers, and field surveys</w:t>
            </w:r>
          </w:p>
        </w:tc>
        <w:tc>
          <w:tcPr>
            <w:tcW w:type="dxa" w:w="3700"/>
            <w:shd w:fill="FFFFFF" w:color="auto" w:val="clear"/>
          </w:tcPr>
          <w:p>
            <w:r>
              <w:rPr>
                <w:sz w:val="20"/>
                <w:szCs w:val="20"/>
              </w:rPr>
              <w:t xml:space="preserve">REST/SOAP APIs, ETL pipelines, message queues</w:t>
            </w:r>
          </w:p>
        </w:tc>
      </w:tr>
      <w:tr>
        <w:tc>
          <w:tcPr>
            <w:tcW w:type="dxa" w:w="2400"/>
            <w:shd w:fill="F5F5F5" w:color="auto" w:val="clear"/>
          </w:tcPr>
          <w:p>
            <w:r>
              <w:rPr>
                <w:sz w:val="20"/>
                <w:szCs w:val="20"/>
              </w:rPr>
              <w:t xml:space="preserve">Data storage</w:t>
            </w:r>
          </w:p>
        </w:tc>
        <w:tc>
          <w:tcPr>
            <w:tcW w:type="dxa" w:w="3400"/>
            <w:shd w:fill="F5F5F5" w:color="auto" w:val="clear"/>
          </w:tcPr>
          <w:p>
            <w:r>
              <w:rPr>
                <w:sz w:val="20"/>
                <w:szCs w:val="20"/>
              </w:rPr>
              <w:t xml:space="preserve">Store structured project records and unstructured documents (legal filings, survey reports)</w:t>
            </w:r>
          </w:p>
        </w:tc>
        <w:tc>
          <w:tcPr>
            <w:tcW w:type="dxa" w:w="3700"/>
            <w:shd w:fill="F5F5F5" w:color="auto" w:val="clear"/>
          </w:tcPr>
          <w:p>
            <w:r>
              <w:rPr>
                <w:sz w:val="20"/>
                <w:szCs w:val="20"/>
              </w:rPr>
              <w:t xml:space="preserve">Relational DB (PostgreSQL/MySQL) + document store</w:t>
            </w:r>
          </w:p>
        </w:tc>
      </w:tr>
      <w:tr>
        <w:tc>
          <w:tcPr>
            <w:tcW w:type="dxa" w:w="2400"/>
            <w:shd w:fill="FFFFFF" w:color="auto" w:val="clear"/>
          </w:tcPr>
          <w:p>
            <w:r>
              <w:rPr>
                <w:sz w:val="20"/>
                <w:szCs w:val="20"/>
              </w:rPr>
              <w:t xml:space="preserve">Geospatial layer</w:t>
            </w:r>
          </w:p>
        </w:tc>
        <w:tc>
          <w:tcPr>
            <w:tcW w:type="dxa" w:w="3400"/>
            <w:shd w:fill="FFFFFF" w:color="auto" w:val="clear"/>
          </w:tcPr>
          <w:p>
            <w:r>
              <w:rPr>
                <w:sz w:val="20"/>
                <w:szCs w:val="20"/>
              </w:rPr>
              <w:t xml:space="preserve">Map land parcels, project boundaries, and affected-family locations</w:t>
            </w:r>
          </w:p>
        </w:tc>
        <w:tc>
          <w:tcPr>
            <w:tcW w:type="dxa" w:w="3700"/>
            <w:shd w:fill="FFFFFF" w:color="auto" w:val="clear"/>
          </w:tcPr>
          <w:p>
            <w:r>
              <w:rPr>
                <w:sz w:val="20"/>
                <w:szCs w:val="20"/>
              </w:rPr>
              <w:t xml:space="preserve">GIS platforms (e.g., QGIS/PostGIS, ESRI, Google Maps/Leaflet APIs)</w:t>
            </w:r>
          </w:p>
        </w:tc>
      </w:tr>
      <w:tr>
        <w:tc>
          <w:tcPr>
            <w:tcW w:type="dxa" w:w="2400"/>
            <w:shd w:fill="F5F5F5" w:color="auto" w:val="clear"/>
          </w:tcPr>
          <w:p>
            <w:r>
              <w:rPr>
                <w:sz w:val="20"/>
                <w:szCs w:val="20"/>
              </w:rPr>
              <w:t xml:space="preserve">ML/prediction engine</w:t>
            </w:r>
          </w:p>
        </w:tc>
        <w:tc>
          <w:tcPr>
            <w:tcW w:type="dxa" w:w="3400"/>
            <w:shd w:fill="F5F5F5" w:color="auto" w:val="clear"/>
          </w:tcPr>
          <w:p>
            <w:r>
              <w:rPr>
                <w:sz w:val="20"/>
                <w:szCs w:val="20"/>
              </w:rPr>
              <w:t xml:space="preserve">Train and serve the delay-risk prediction models</w:t>
            </w:r>
          </w:p>
        </w:tc>
        <w:tc>
          <w:tcPr>
            <w:tcW w:type="dxa" w:w="3700"/>
            <w:shd w:fill="F5F5F5" w:color="auto" w:val="clear"/>
          </w:tcPr>
          <w:p>
            <w:r>
              <w:rPr>
                <w:sz w:val="20"/>
                <w:szCs w:val="20"/>
              </w:rPr>
              <w:t xml:space="preserve">Python (scikit-learn, XGBoost/LightGBM), model-serving via REST endpoints</w:t>
            </w:r>
          </w:p>
        </w:tc>
      </w:tr>
      <w:tr>
        <w:tc>
          <w:tcPr>
            <w:tcW w:type="dxa" w:w="2400"/>
            <w:shd w:fill="FFFFFF" w:color="auto" w:val="clear"/>
          </w:tcPr>
          <w:p>
            <w:r>
              <w:rPr>
                <w:sz w:val="20"/>
                <w:szCs w:val="20"/>
              </w:rPr>
              <w:t xml:space="preserve">Explainability layer</w:t>
            </w:r>
          </w:p>
        </w:tc>
        <w:tc>
          <w:tcPr>
            <w:tcW w:type="dxa" w:w="3400"/>
            <w:shd w:fill="FFFFFF" w:color="auto" w:val="clear"/>
          </w:tcPr>
          <w:p>
            <w:r>
              <w:rPr>
                <w:sz w:val="20"/>
                <w:szCs w:val="20"/>
              </w:rPr>
              <w:t xml:space="preserve">Compute and expose the reasons behind each risk score</w:t>
            </w:r>
          </w:p>
        </w:tc>
        <w:tc>
          <w:tcPr>
            <w:tcW w:type="dxa" w:w="3700"/>
            <w:shd w:fill="FFFFFF" w:color="auto" w:val="clear"/>
          </w:tcPr>
          <w:p>
            <w:r>
              <w:rPr>
                <w:sz w:val="20"/>
                <w:szCs w:val="20"/>
              </w:rPr>
              <w:t xml:space="preserve">SHAP / LIME libraries integrated with the prediction engine</w:t>
            </w:r>
          </w:p>
        </w:tc>
      </w:tr>
      <w:tr>
        <w:tc>
          <w:tcPr>
            <w:tcW w:type="dxa" w:w="2400"/>
            <w:shd w:fill="F5F5F5" w:color="auto" w:val="clear"/>
          </w:tcPr>
          <w:p>
            <w:r>
              <w:rPr>
                <w:sz w:val="20"/>
                <w:szCs w:val="20"/>
              </w:rPr>
              <w:t xml:space="preserve">Dashboard &amp; visualization</w:t>
            </w:r>
          </w:p>
        </w:tc>
        <w:tc>
          <w:tcPr>
            <w:tcW w:type="dxa" w:w="3400"/>
            <w:shd w:fill="F5F5F5" w:color="auto" w:val="clear"/>
          </w:tcPr>
          <w:p>
            <w:r>
              <w:rPr>
                <w:sz w:val="20"/>
                <w:szCs w:val="20"/>
              </w:rPr>
              <w:t xml:space="preserve">Interactive maps, trend charts, and project drill-downs for end users</w:t>
            </w:r>
          </w:p>
        </w:tc>
        <w:tc>
          <w:tcPr>
            <w:tcW w:type="dxa" w:w="3700"/>
            <w:shd w:fill="F5F5F5" w:color="auto" w:val="clear"/>
          </w:tcPr>
          <w:p>
            <w:r>
              <w:rPr>
                <w:sz w:val="20"/>
                <w:szCs w:val="20"/>
              </w:rPr>
              <w:t xml:space="preserve">Web dashboard frameworks (e.g., React + charting/GIS libraries), BI tools</w:t>
            </w:r>
          </w:p>
        </w:tc>
      </w:tr>
      <w:tr>
        <w:tc>
          <w:tcPr>
            <w:tcW w:type="dxa" w:w="2400"/>
            <w:shd w:fill="FFFFFF" w:color="auto" w:val="clear"/>
          </w:tcPr>
          <w:p>
            <w:r>
              <w:rPr>
                <w:sz w:val="20"/>
                <w:szCs w:val="20"/>
              </w:rPr>
              <w:t xml:space="preserve">Alerting &amp; notifications</w:t>
            </w:r>
          </w:p>
        </w:tc>
        <w:tc>
          <w:tcPr>
            <w:tcW w:type="dxa" w:w="3400"/>
            <w:shd w:fill="FFFFFF" w:color="auto" w:val="clear"/>
          </w:tcPr>
          <w:p>
            <w:r>
              <w:rPr>
                <w:sz w:val="20"/>
                <w:szCs w:val="20"/>
              </w:rPr>
              <w:t xml:space="preserve">Push real-time alerts to responsible officials</w:t>
            </w:r>
          </w:p>
        </w:tc>
        <w:tc>
          <w:tcPr>
            <w:tcW w:type="dxa" w:w="3700"/>
            <w:shd w:fill="FFFFFF" w:color="auto" w:val="clear"/>
          </w:tcPr>
          <w:p>
            <w:r>
              <w:rPr>
                <w:sz w:val="20"/>
                <w:szCs w:val="20"/>
              </w:rPr>
              <w:t xml:space="preserve">Email/SMS gateways, push notification services</w:t>
            </w:r>
          </w:p>
        </w:tc>
      </w:tr>
      <w:tr>
        <w:tc>
          <w:tcPr>
            <w:tcW w:type="dxa" w:w="2400"/>
            <w:shd w:fill="F5F5F5" w:color="auto" w:val="clear"/>
          </w:tcPr>
          <w:p>
            <w:r>
              <w:rPr>
                <w:sz w:val="20"/>
                <w:szCs w:val="20"/>
              </w:rPr>
              <w:t xml:space="preserve">Access control &amp; audit</w:t>
            </w:r>
          </w:p>
        </w:tc>
        <w:tc>
          <w:tcPr>
            <w:tcW w:type="dxa" w:w="3400"/>
            <w:shd w:fill="F5F5F5" w:color="auto" w:val="clear"/>
          </w:tcPr>
          <w:p>
            <w:r>
              <w:rPr>
                <w:sz w:val="20"/>
                <w:szCs w:val="20"/>
              </w:rPr>
              <w:t xml:space="preserve">Role-based access for different stakeholder types, with a full audit trail</w:t>
            </w:r>
          </w:p>
        </w:tc>
        <w:tc>
          <w:tcPr>
            <w:tcW w:type="dxa" w:w="3700"/>
            <w:shd w:fill="F5F5F5" w:color="auto" w:val="clear"/>
          </w:tcPr>
          <w:p>
            <w:r>
              <w:rPr>
                <w:sz w:val="20"/>
                <w:szCs w:val="20"/>
              </w:rPr>
              <w:t xml:space="preserve">Identity &amp; access management (IAM), audit logging</w:t>
            </w:r>
          </w:p>
        </w:tc>
      </w:tr>
      <w:tr>
        <w:tc>
          <w:tcPr>
            <w:tcW w:type="dxa" w:w="2400"/>
            <w:shd w:fill="FFFFFF" w:color="auto" w:val="clear"/>
          </w:tcPr>
          <w:p>
            <w:r>
              <w:rPr>
                <w:sz w:val="20"/>
                <w:szCs w:val="20"/>
              </w:rPr>
              <w:t xml:space="preserve">Continuous learning pipeline</w:t>
            </w:r>
          </w:p>
        </w:tc>
        <w:tc>
          <w:tcPr>
            <w:tcW w:type="dxa" w:w="3400"/>
            <w:shd w:fill="FFFFFF" w:color="auto" w:val="clear"/>
          </w:tcPr>
          <w:p>
            <w:r>
              <w:rPr>
                <w:sz w:val="20"/>
                <w:szCs w:val="20"/>
              </w:rPr>
              <w:t xml:space="preserve">Retrain models periodically as new project outcomes become available</w:t>
            </w:r>
          </w:p>
        </w:tc>
        <w:tc>
          <w:tcPr>
            <w:tcW w:type="dxa" w:w="3700"/>
            <w:shd w:fill="FFFFFF" w:color="auto" w:val="clear"/>
          </w:tcPr>
          <w:p>
            <w:r>
              <w:rPr>
                <w:sz w:val="20"/>
                <w:szCs w:val="20"/>
              </w:rPr>
              <w:t xml:space="preserve">MLOps pipeline (e.g., scheduled retraining jobs, model versioning)</w:t>
            </w:r>
          </w:p>
        </w:tc>
      </w:tr>
    </w:tbl>
    <w:p>
      <w:pPr>
        <w:pStyle w:val="Heading1"/>
        <w:spacing w:after="150" w:before="300"/>
      </w:pPr>
      <w:r>
        <w:t xml:space="preserve">8. Who Uses the System, and How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400"/>
      </w:tblGrid>
      <w:tr>
        <w:tc>
          <w:tcPr>
            <w:tcW w:type="dxa" w:w="2200"/>
            <w:shd w:fill="2E4057" w:color="auto" w:val="clear"/>
          </w:tcPr>
          <w:p>
            <w:r>
              <w:rPr>
                <w:b/>
                <w:bCs/>
                <w:color w:val="FFFFFF"/>
                <w:sz w:val="20"/>
                <w:szCs w:val="20"/>
              </w:rPr>
              <w:t xml:space="preserve">Stage</w:t>
            </w:r>
          </w:p>
        </w:tc>
        <w:tc>
          <w:tcPr>
            <w:tcW w:type="dxa" w:w="2900"/>
            <w:shd w:fill="2E4057" w:color="auto" w:val="clear"/>
          </w:tcPr>
          <w:p>
            <w:r>
              <w:rPr>
                <w:b/>
                <w:bCs/>
                <w:color w:val="FFFFFF"/>
                <w:sz w:val="20"/>
                <w:szCs w:val="20"/>
              </w:rPr>
              <w:t xml:space="preserve">Who's Involved</w:t>
            </w:r>
          </w:p>
        </w:tc>
        <w:tc>
          <w:tcPr>
            <w:tcW w:type="dxa" w:w="3400"/>
            <w:shd w:fill="2E4057" w:color="auto" w:val="clear"/>
          </w:tcPr>
          <w:p>
            <w:r>
              <w:rPr>
                <w:b/>
                <w:bCs/>
                <w:color w:val="FFFFFF"/>
                <w:sz w:val="20"/>
                <w:szCs w:val="20"/>
              </w:rPr>
              <w:t xml:space="preserve">What They Do</w:t>
            </w:r>
          </w:p>
        </w:tc>
      </w:tr>
      <w:tr>
        <w:tc>
          <w:tcPr>
            <w:tcW w:type="dxa" w:w="2200"/>
            <w:shd w:fill="FFFFFF" w:color="auto" w:val="clear"/>
          </w:tcPr>
          <w:p>
            <w:r>
              <w:rPr>
                <w:sz w:val="20"/>
                <w:szCs w:val="20"/>
              </w:rPr>
              <w:t xml:space="preserve">Data entry / integration</w:t>
            </w:r>
          </w:p>
        </w:tc>
        <w:tc>
          <w:tcPr>
            <w:tcW w:type="dxa" w:w="2900"/>
            <w:shd w:fill="FFFFFF" w:color="auto" w:val="clear"/>
          </w:tcPr>
          <w:p>
            <w:r>
              <w:rPr>
                <w:sz w:val="20"/>
                <w:szCs w:val="20"/>
              </w:rPr>
              <w:t xml:space="preserve">Land acquisition departments, government databases</w:t>
            </w:r>
          </w:p>
        </w:tc>
        <w:tc>
          <w:tcPr>
            <w:tcW w:type="dxa" w:w="3400"/>
            <w:shd w:fill="FFFFFF" w:color="auto" w:val="clear"/>
          </w:tcPr>
          <w:p>
            <w:r>
              <w:rPr>
                <w:sz w:val="20"/>
                <w:szCs w:val="20"/>
              </w:rPr>
              <w:t xml:space="preserve">Feed project data into the system (via APIs)</w:t>
            </w:r>
          </w:p>
        </w:tc>
      </w:tr>
      <w:tr>
        <w:tc>
          <w:tcPr>
            <w:tcW w:type="dxa" w:w="2200"/>
            <w:shd w:fill="F5F5F5" w:color="auto" w:val="clear"/>
          </w:tcPr>
          <w:p>
            <w:r>
              <w:rPr>
                <w:sz w:val="20"/>
                <w:szCs w:val="20"/>
              </w:rPr>
              <w:t xml:space="preserve">Model training</w:t>
            </w:r>
          </w:p>
        </w:tc>
        <w:tc>
          <w:tcPr>
            <w:tcW w:type="dxa" w:w="2900"/>
            <w:shd w:fill="F5F5F5" w:color="auto" w:val="clear"/>
          </w:tcPr>
          <w:p>
            <w:r>
              <w:rPr>
                <w:sz w:val="20"/>
                <w:szCs w:val="20"/>
              </w:rPr>
              <w:t xml:space="preserve">Data scientists / system backend</w:t>
            </w:r>
          </w:p>
        </w:tc>
        <w:tc>
          <w:tcPr>
            <w:tcW w:type="dxa" w:w="3400"/>
            <w:shd w:fill="F5F5F5" w:color="auto" w:val="clear"/>
          </w:tcPr>
          <w:p>
            <w:r>
              <w:rPr>
                <w:sz w:val="20"/>
                <w:szCs w:val="20"/>
              </w:rPr>
              <w:t xml:space="preserve">Model learns from historical + ongoing case patterns</w:t>
            </w:r>
          </w:p>
        </w:tc>
      </w:tr>
      <w:tr>
        <w:tc>
          <w:tcPr>
            <w:tcW w:type="dxa" w:w="2200"/>
            <w:shd w:fill="FFFFFF" w:color="auto" w:val="clear"/>
          </w:tcPr>
          <w:p>
            <w:r>
              <w:rPr>
                <w:sz w:val="20"/>
                <w:szCs w:val="20"/>
              </w:rPr>
              <w:t xml:space="preserve">Monitoring</w:t>
            </w:r>
          </w:p>
        </w:tc>
        <w:tc>
          <w:tcPr>
            <w:tcW w:type="dxa" w:w="2900"/>
            <w:shd w:fill="FFFFFF" w:color="auto" w:val="clear"/>
          </w:tcPr>
          <w:p>
            <w:r>
              <w:rPr>
                <w:sz w:val="20"/>
                <w:szCs w:val="20"/>
              </w:rPr>
              <w:t xml:space="preserve">Project managers, district officials</w:t>
            </w:r>
          </w:p>
        </w:tc>
        <w:tc>
          <w:tcPr>
            <w:tcW w:type="dxa" w:w="3400"/>
            <w:shd w:fill="FFFFFF" w:color="auto" w:val="clear"/>
          </w:tcPr>
          <w:p>
            <w:r>
              <w:rPr>
                <w:sz w:val="20"/>
                <w:szCs w:val="20"/>
              </w:rPr>
              <w:t xml:space="preserve">Watch dashboards, receive alerts on high-risk projects</w:t>
            </w:r>
          </w:p>
        </w:tc>
      </w:tr>
      <w:tr>
        <w:tc>
          <w:tcPr>
            <w:tcW w:type="dxa" w:w="2200"/>
            <w:shd w:fill="F5F5F5" w:color="auto" w:val="clear"/>
          </w:tcPr>
          <w:p>
            <w:r>
              <w:rPr>
                <w:sz w:val="20"/>
                <w:szCs w:val="20"/>
              </w:rPr>
              <w:t xml:space="preserve">Decision-making</w:t>
            </w:r>
          </w:p>
        </w:tc>
        <w:tc>
          <w:tcPr>
            <w:tcW w:type="dxa" w:w="2900"/>
            <w:shd w:fill="F5F5F5" w:color="auto" w:val="clear"/>
          </w:tcPr>
          <w:p>
            <w:r>
              <w:rPr>
                <w:sz w:val="20"/>
                <w:szCs w:val="20"/>
              </w:rPr>
              <w:t xml:space="preserve">Policymakers, senior administrators</w:t>
            </w:r>
          </w:p>
        </w:tc>
        <w:tc>
          <w:tcPr>
            <w:tcW w:type="dxa" w:w="3400"/>
            <w:shd w:fill="F5F5F5" w:color="auto" w:val="clear"/>
          </w:tcPr>
          <w:p>
            <w:r>
              <w:rPr>
                <w:sz w:val="20"/>
                <w:szCs w:val="20"/>
              </w:rPr>
              <w:t xml:space="preserve">Use risk scores and comparisons to prioritize interventions</w:t>
            </w:r>
          </w:p>
        </w:tc>
      </w:tr>
      <w:tr>
        <w:tc>
          <w:tcPr>
            <w:tcW w:type="dxa" w:w="2200"/>
            <w:shd w:fill="FFFFFF" w:color="auto" w:val="clear"/>
          </w:tcPr>
          <w:p>
            <w:r>
              <w:rPr>
                <w:sz w:val="20"/>
                <w:szCs w:val="20"/>
              </w:rPr>
              <w:t xml:space="preserve">Governance &amp; audit</w:t>
            </w:r>
          </w:p>
        </w:tc>
        <w:tc>
          <w:tcPr>
            <w:tcW w:type="dxa" w:w="2900"/>
            <w:shd w:fill="FFFFFF" w:color="auto" w:val="clear"/>
          </w:tcPr>
          <w:p>
            <w:r>
              <w:rPr>
                <w:sz w:val="20"/>
                <w:szCs w:val="20"/>
              </w:rPr>
              <w:t xml:space="preserve">System admins</w:t>
            </w:r>
          </w:p>
        </w:tc>
        <w:tc>
          <w:tcPr>
            <w:tcW w:type="dxa" w:w="3400"/>
            <w:shd w:fill="FFFFFF" w:color="auto" w:val="clear"/>
          </w:tcPr>
          <w:p>
            <w:r>
              <w:rPr>
                <w:sz w:val="20"/>
                <w:szCs w:val="20"/>
              </w:rPr>
              <w:t xml:space="preserve">Manage role-based access and maintain audit trails</w:t>
            </w:r>
          </w:p>
        </w:tc>
      </w:tr>
    </w:tbl>
    <w:p>
      <w:pPr>
        <w:pStyle w:val="Heading1"/>
        <w:spacing w:after="150" w:before="300"/>
      </w:pPr>
      <w:r>
        <w:t xml:space="preserve">9. Why This Shifts Governance From Reactive to Proactive</w:t>
      </w:r>
    </w:p>
    <w:p>
      <w:pPr>
        <w:spacing w:after="150"/>
      </w:pPr>
      <w:r>
        <w:t xml:space="preserve">Today: a project gets delayed → someone eventually notices → a report is filed → action is taken late. With this system: the model spots the warning signs early → an alert goes out → officials intervene before the project timeline is actually broken.</w:t>
      </w:r>
    </w:p>
    <w:p>
      <w:pPr>
        <w:spacing w:after="100" w:before="100"/>
      </w:pPr>
    </w:p>
    <w:p>
      <w:pPr>
        <w:spacing w:after="100"/>
        <w:jc w:val="center"/>
      </w:pPr>
      <w:r>
        <w:rPr>
          <w:b/>
          <w:bCs/>
          <w:color w:val="C0392B"/>
        </w:rPr>
        <w:t xml:space="preserve">Current Approach — Reactive</w:t>
      </w:r>
    </w:p>
    <w:tbl>
      <w:tblPr>
        <w:tblW w:type="dxa" w:w="91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80"/>
        <w:gridCol w:w="2000"/>
        <w:gridCol w:w="380"/>
        <w:gridCol w:w="2000"/>
        <w:gridCol w:w="380"/>
        <w:gridCol w:w="2000"/>
      </w:tblGrid>
      <w:tr>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Delay</w:t>
                  </w:r>
                </w:p>
                <w:p>
                  <w:pPr>
                    <w:jc w:val="center"/>
                  </w:pPr>
                  <w:r>
                    <w:rPr>
                      <w:b/>
                      <w:bCs/>
                      <w:sz w:val="20"/>
                      <w:szCs w:val="20"/>
                    </w:rPr>
                    <w:t xml:space="preserve">happens</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Delay is</w:t>
                  </w:r>
                </w:p>
                <w:p>
                  <w:pPr>
                    <w:jc w:val="center"/>
                  </w:pPr>
                  <w:r>
                    <w:rPr>
                      <w:b/>
                      <w:bCs/>
                      <w:sz w:val="20"/>
                      <w:szCs w:val="20"/>
                    </w:rPr>
                    <w:t xml:space="preserve">noticed</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Report</w:t>
                  </w:r>
                </w:p>
                <w:p>
                  <w:pPr>
                    <w:jc w:val="center"/>
                  </w:pPr>
                  <w:r>
                    <w:rPr>
                      <w:b/>
                      <w:bCs/>
                      <w:sz w:val="20"/>
                      <w:szCs w:val="20"/>
                    </w:rPr>
                    <w:t xml:space="preserve">filed</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C0392B" w:sz="8"/>
                    <w:left w:val="single" w:color="C0392B" w:sz="8"/>
                    <w:bottom w:val="single" w:color="C0392B" w:sz="8"/>
                    <w:right w:val="single" w:color="C0392B" w:sz="8"/>
                  </w:tcBorders>
                  <w:shd w:fill="F8D7DA" w:color="auto" w:val="clear"/>
                  <w:tcMar>
                    <w:top w:type="dxa" w:w="120"/>
                    <w:left w:type="dxa" w:w="150"/>
                    <w:bottom w:type="dxa" w:w="120"/>
                    <w:right w:type="dxa" w:w="150"/>
                  </w:tcMar>
                  <w:vAlign w:val="center"/>
                </w:tcPr>
                <w:p>
                  <w:pPr>
                    <w:jc w:val="center"/>
                  </w:pPr>
                  <w:r>
                    <w:rPr>
                      <w:b/>
                      <w:bCs/>
                      <w:sz w:val="20"/>
                      <w:szCs w:val="20"/>
                    </w:rPr>
                    <w:t xml:space="preserve">Action taken</w:t>
                  </w:r>
                </w:p>
                <w:p>
                  <w:pPr>
                    <w:jc w:val="center"/>
                  </w:pPr>
                  <w:r>
                    <w:rPr>
                      <w:b/>
                      <w:bCs/>
                      <w:sz w:val="20"/>
                      <w:szCs w:val="20"/>
                    </w:rPr>
                    <w:t xml:space="preserve">— late</w:t>
                  </w:r>
                </w:p>
              </w:tc>
            </w:tr>
          </w:tbl>
          <w:p/>
        </w:tc>
      </w:tr>
    </w:tbl>
    <w:p>
      <w:pPr>
        <w:spacing w:after="100" w:before="100"/>
      </w:pPr>
    </w:p>
    <w:p>
      <w:pPr>
        <w:spacing w:after="100" w:before="200"/>
        <w:jc w:val="center"/>
      </w:pPr>
      <w:r>
        <w:rPr>
          <w:b/>
          <w:bCs/>
          <w:color w:val="2E7D32"/>
        </w:rPr>
        <w:t xml:space="preserve">Proposed Approach — Predictive</w:t>
      </w:r>
    </w:p>
    <w:tbl>
      <w:tblPr>
        <w:tblW w:type="dxa" w:w="91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80"/>
        <w:gridCol w:w="2000"/>
        <w:gridCol w:w="380"/>
        <w:gridCol w:w="2000"/>
        <w:gridCol w:w="380"/>
        <w:gridCol w:w="2000"/>
      </w:tblGrid>
      <w:tr>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Early warning</w:t>
                  </w:r>
                </w:p>
                <w:p>
                  <w:pPr>
                    <w:jc w:val="center"/>
                  </w:pPr>
                  <w:r>
                    <w:rPr>
                      <w:b/>
                      <w:bCs/>
                      <w:sz w:val="20"/>
                      <w:szCs w:val="20"/>
                    </w:rPr>
                    <w:t xml:space="preserve">detected by AI</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Risk flagged</w:t>
                  </w:r>
                </w:p>
                <w:p>
                  <w:pPr>
                    <w:jc w:val="center"/>
                  </w:pPr>
                  <w:r>
                    <w:rPr>
                      <w:b/>
                      <w:bCs/>
                      <w:sz w:val="20"/>
                      <w:szCs w:val="20"/>
                    </w:rPr>
                    <w:t xml:space="preserve">before delay</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888888" w:sz="8"/>
                    <w:left w:val="single" w:color="888888" w:sz="8"/>
                    <w:bottom w:val="single" w:color="888888" w:sz="8"/>
                    <w:right w:val="single" w:color="888888" w:sz="8"/>
                  </w:tcBorders>
                  <w:shd w:fill="F1F1F1" w:color="auto" w:val="clear"/>
                  <w:tcMar>
                    <w:top w:type="dxa" w:w="120"/>
                    <w:left w:type="dxa" w:w="150"/>
                    <w:bottom w:type="dxa" w:w="120"/>
                    <w:right w:type="dxa" w:w="150"/>
                  </w:tcMar>
                  <w:vAlign w:val="center"/>
                </w:tcPr>
                <w:p>
                  <w:pPr>
                    <w:jc w:val="center"/>
                  </w:pPr>
                  <w:r>
                    <w:rPr>
                      <w:b/>
                      <w:bCs/>
                      <w:sz w:val="20"/>
                      <w:szCs w:val="20"/>
                    </w:rPr>
                    <w:t xml:space="preserve">Action taken</w:t>
                  </w:r>
                </w:p>
                <w:p>
                  <w:pPr>
                    <w:jc w:val="center"/>
                  </w:pPr>
                  <w:r>
                    <w:rPr>
                      <w:b/>
                      <w:bCs/>
                      <w:sz w:val="20"/>
                      <w:szCs w:val="20"/>
                    </w:rPr>
                    <w:t xml:space="preserve">early</w:t>
                  </w:r>
                </w:p>
              </w:tc>
            </w:tr>
          </w:tbl>
          <w:p/>
        </w:tc>
        <w:tc>
          <w:tcPr>
            <w:tcW w:type="dxa" w:w="380"/>
            <w:tcBorders>
              <w:top w:val="none" w:color="FFFFFF" w:sz="0"/>
              <w:left w:val="none" w:color="FFFFFF" w:sz="0"/>
              <w:bottom w:val="none" w:color="FFFFFF" w:sz="0"/>
              <w:right w:val="none" w:color="FFFFFF" w:sz="0"/>
            </w:tcBorders>
            <w:vAlign w:val="center"/>
          </w:tcPr>
          <w:p>
            <w:pPr>
              <w:jc w:val="center"/>
            </w:pPr>
            <w:r>
              <w:rPr>
                <w:b/>
                <w:bCs/>
                <w:color w:val="555555"/>
                <w:sz w:val="28"/>
                <w:szCs w:val="28"/>
              </w:rPr>
              <w:t xml:space="preserve">→</w:t>
            </w:r>
          </w:p>
        </w:tc>
        <w:tc>
          <w:tcPr>
            <w:tcW w:type="dxa" w:w="2000"/>
            <w:tcBorders>
              <w:top w:val="none" w:color="FFFFFF" w:sz="0"/>
              <w:left w:val="none" w:color="FFFFFF" w:sz="0"/>
              <w:bottom w:val="none" w:color="FFFFFF" w:sz="0"/>
              <w:right w:val="none" w:color="FFFFFF" w:sz="0"/>
            </w:tcBorders>
            <w:vAlign w:val="center"/>
          </w:tcPr>
          <w:tbl>
            <w:tblPr>
              <w:tblW w:type="dxa" w:w="1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tblGrid>
            <w:tr>
              <w:tc>
                <w:tcPr>
                  <w:tcW w:type="dxa" w:w="1800"/>
                  <w:tcBorders>
                    <w:top w:val="single" w:color="2E7D32" w:sz="8"/>
                    <w:left w:val="single" w:color="2E7D32" w:sz="8"/>
                    <w:bottom w:val="single" w:color="2E7D32" w:sz="8"/>
                    <w:right w:val="single" w:color="2E7D32" w:sz="8"/>
                  </w:tcBorders>
                  <w:shd w:fill="D4EDDA" w:color="auto" w:val="clear"/>
                  <w:tcMar>
                    <w:top w:type="dxa" w:w="120"/>
                    <w:left w:type="dxa" w:w="150"/>
                    <w:bottom w:type="dxa" w:w="120"/>
                    <w:right w:type="dxa" w:w="150"/>
                  </w:tcMar>
                  <w:vAlign w:val="center"/>
                </w:tcPr>
                <w:p>
                  <w:pPr>
                    <w:jc w:val="center"/>
                  </w:pPr>
                  <w:r>
                    <w:rPr>
                      <w:b/>
                      <w:bCs/>
                      <w:sz w:val="20"/>
                      <w:szCs w:val="20"/>
                    </w:rPr>
                    <w:t xml:space="preserve">Delay avoided</w:t>
                  </w:r>
                </w:p>
                <w:p>
                  <w:pPr>
                    <w:jc w:val="center"/>
                  </w:pPr>
                  <w:r>
                    <w:rPr>
                      <w:b/>
                      <w:bCs/>
                      <w:sz w:val="20"/>
                      <w:szCs w:val="20"/>
                    </w:rPr>
                    <w:t xml:space="preserve">or minimized</w:t>
                  </w:r>
                </w:p>
              </w:tc>
            </w:tr>
          </w:tbl>
          <w:p/>
        </w:tc>
      </w:tr>
    </w:tbl>
    <w:p>
      <w:pPr>
        <w:pStyle w:val="Heading1"/>
        <w:spacing w:after="150" w:before="300"/>
      </w:pPr>
      <w:r>
        <w:t xml:space="preserve">10. Practical Challenges to Anticipate</w:t>
      </w:r>
    </w:p>
    <w:p>
      <w:pPr>
        <w:spacing w:after="150"/>
      </w:pPr>
      <w:r>
        <w:t xml:space="preserve">A system like this is not simply a matter of writing a model — it has to work with real, messy government data and be trusted by real officials. Some of the key challenges worth planning for upfront:</w:t>
      </w:r>
    </w:p>
    <w:p>
      <w:pPr>
        <w:pStyle w:val="ListParagraph"/>
        <w:numPr>
          <w:ilvl w:val="0"/>
          <w:numId w:val="1"/>
        </w:numPr>
        <w:spacing w:after="80"/>
      </w:pPr>
      <w:r>
        <w:t xml:space="preserve">Data quality and completeness: historical land records are often incomplete, inconsistently formatted, or split across departments with no shared identifiers — the system needs strong data-cleaning and record-linkage logic before any model can be trained reliably.</w:t>
      </w:r>
    </w:p>
    <w:p>
      <w:pPr>
        <w:pStyle w:val="ListParagraph"/>
        <w:numPr>
          <w:ilvl w:val="0"/>
          <w:numId w:val="1"/>
        </w:numPr>
        <w:spacing w:after="80"/>
      </w:pPr>
      <w:r>
        <w:t xml:space="preserve">Cold-start problem for new project types or new regions: the model may have little or no historical data for an unusual project type or a district acquiring land for the first time — it needs sensible fallback logic (e.g., using similar-region averages) rather than producing an overconfident score.</w:t>
      </w:r>
    </w:p>
    <w:p>
      <w:pPr>
        <w:pStyle w:val="ListParagraph"/>
        <w:numPr>
          <w:ilvl w:val="0"/>
          <w:numId w:val="1"/>
        </w:numPr>
        <w:spacing w:after="80"/>
      </w:pPr>
      <w:r>
        <w:t xml:space="preserve">Trust and adoption: officials accustomed to manual reporting may be skeptical of an AI-generated score — this is precisely why explainability, clear recommendations, and a gradual rollout (advisory first, then increasingly relied upon) matter.</w:t>
      </w:r>
    </w:p>
    <w:p>
      <w:pPr>
        <w:pStyle w:val="ListParagraph"/>
        <w:numPr>
          <w:ilvl w:val="0"/>
          <w:numId w:val="1"/>
        </w:numPr>
        <w:spacing w:after="80"/>
      </w:pPr>
      <w:r>
        <w:t xml:space="preserve">Data privacy and sensitivity: records include personal details of affected families — access must be role-based and auditable, and personal data should be handled in line with applicable data-protection requirements.</w:t>
      </w:r>
    </w:p>
    <w:p>
      <w:pPr>
        <w:pStyle w:val="ListParagraph"/>
        <w:numPr>
          <w:ilvl w:val="0"/>
          <w:numId w:val="1"/>
        </w:numPr>
        <w:spacing w:after="80"/>
      </w:pPr>
      <w:r>
        <w:t xml:space="preserve">Model drift over time: policies, compensation rules, and legal processes change — the continuous-learning pipeline needs monitoring so the model doesn't quietly become stale or biased toward outdated patterns.</w:t>
      </w:r>
    </w:p>
    <w:p>
      <w:pPr>
        <w:pStyle w:val="Heading1"/>
        <w:spacing w:after="150" w:before="300"/>
      </w:pPr>
      <w:r>
        <w:t xml:space="preserve">11. Summary — What the Final Solution Must Deliver</w:t>
      </w:r>
    </w:p>
    <w:p>
      <w:pPr>
        <w:pStyle w:val="ListParagraph"/>
        <w:numPr>
          <w:ilvl w:val="0"/>
          <w:numId w:val="1"/>
        </w:numPr>
        <w:spacing w:after="80"/>
      </w:pPr>
      <w:r>
        <w:t xml:space="preserve">A prediction engine that scores every project's delay risk</w:t>
      </w:r>
    </w:p>
    <w:p>
      <w:pPr>
        <w:pStyle w:val="ListParagraph"/>
        <w:numPr>
          <w:ilvl w:val="0"/>
          <w:numId w:val="1"/>
        </w:numPr>
        <w:spacing w:after="80"/>
      </w:pPr>
      <w:r>
        <w:t xml:space="preserve">Clear, explainable reasons behind every risk score (not a black box)</w:t>
      </w:r>
    </w:p>
    <w:p>
      <w:pPr>
        <w:pStyle w:val="ListParagraph"/>
        <w:numPr>
          <w:ilvl w:val="0"/>
          <w:numId w:val="1"/>
        </w:numPr>
        <w:spacing w:after="80"/>
      </w:pPr>
      <w:r>
        <w:t xml:space="preserve">Recommendations, not just warnings — what officials should actually do</w:t>
      </w:r>
    </w:p>
    <w:p>
      <w:pPr>
        <w:pStyle w:val="ListParagraph"/>
        <w:numPr>
          <w:ilvl w:val="0"/>
          <w:numId w:val="1"/>
        </w:numPr>
        <w:spacing w:after="80"/>
      </w:pPr>
      <w:r>
        <w:t xml:space="preserve">Dashboards with maps, trends, and comparisons across districts/states</w:t>
      </w:r>
    </w:p>
    <w:p>
      <w:pPr>
        <w:pStyle w:val="ListParagraph"/>
        <w:numPr>
          <w:ilvl w:val="0"/>
          <w:numId w:val="1"/>
        </w:numPr>
        <w:spacing w:after="80"/>
      </w:pPr>
      <w:r>
        <w:t xml:space="preserve">Real-time alerts to the right people at the right time</w:t>
      </w:r>
    </w:p>
    <w:p>
      <w:pPr>
        <w:pStyle w:val="ListParagraph"/>
        <w:numPr>
          <w:ilvl w:val="0"/>
          <w:numId w:val="1"/>
        </w:numPr>
        <w:spacing w:after="80"/>
      </w:pPr>
      <w:r>
        <w:t xml:space="preserve">APIs to connect with existing government land records systems</w:t>
      </w:r>
    </w:p>
    <w:p>
      <w:pPr>
        <w:pStyle w:val="ListParagraph"/>
        <w:numPr>
          <w:ilvl w:val="0"/>
          <w:numId w:val="1"/>
        </w:numPr>
        <w:spacing w:after="80"/>
      </w:pPr>
      <w:r>
        <w:t xml:space="preserve">Secure, role-based access with full audit trails</w:t>
      </w:r>
    </w:p>
    <w:p>
      <w:pPr>
        <w:pStyle w:val="ListParagraph"/>
        <w:numPr>
          <w:ilvl w:val="0"/>
          <w:numId w:val="1"/>
        </w:numPr>
        <w:spacing w:after="80"/>
      </w:pPr>
      <w:r>
        <w:t xml:space="preserve">A model that keeps learning and improving as new project data comes in</w:t>
      </w:r>
    </w:p>
    <w:p>
      <w:pPr>
        <w:spacing w:after="200" w:before="200"/>
      </w:pPr>
    </w:p>
    <w:p>
      <w:pPr>
        <w:pBdr>
          <w:top w:val="single" w:color="CCCCCC" w:sz="6"/>
        </w:pBdr>
        <w:spacing w:before="200"/>
      </w:pPr>
      <w:r>
        <w:rPr>
          <w:i/>
          <w:iCs/>
          <w:color w:val="555555"/>
          <w:sz w:val="20"/>
          <w:szCs w:val="20"/>
        </w:rPr>
        <w:t xml:space="preserve">Note: The original problem statement references a "Scope of Study" table that was marked as a placeholder ("Add table here") but not filled in with content in the source document. Share that data and it can be added as a dedicated section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2026-09-19T06:27:24.676Z</dcterms:created>
  <dcterms:modified xsi:type="dcterms:W3CDTF">2026-09-19T06:27:24.677Z</dcterms:modified>
</cp:coreProperties>
</file>

<file path=docProps/custom.xml><?xml version="1.0" encoding="utf-8"?>
<Properties xmlns="http://schemas.openxmlformats.org/officeDocument/2006/custom-properties" xmlns:vt="http://schemas.openxmlformats.org/officeDocument/2006/docPropsVTypes"/>
</file>