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8BCB" w14:textId="31807779" w:rsidR="00470CA9" w:rsidRPr="00470CA9" w:rsidRDefault="00470CA9" w:rsidP="00470CA9">
      <w:pPr>
        <w:rPr>
          <w:b/>
          <w:bCs/>
        </w:rPr>
      </w:pPr>
      <w:r>
        <w:rPr>
          <w:b/>
          <w:bCs/>
        </w:rPr>
        <w:t xml:space="preserve">Detailed </w:t>
      </w:r>
      <w:r w:rsidRPr="00470CA9">
        <w:rPr>
          <w:b/>
          <w:bCs/>
        </w:rPr>
        <w:t>Executive Summary – Adidas Sales Performance Analysis</w:t>
      </w:r>
    </w:p>
    <w:p w14:paraId="038CB60E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Objective</w:t>
      </w:r>
    </w:p>
    <w:p w14:paraId="4830D941" w14:textId="77777777" w:rsidR="00470CA9" w:rsidRPr="00470CA9" w:rsidRDefault="00470CA9" w:rsidP="00470CA9">
      <w:r w:rsidRPr="00470CA9">
        <w:t>The objective of this analysis is to evaluate Adidas’ sales performance across regions, products, retailers, and sales channels, and to identify key business insights that can support data-driven decision making.</w:t>
      </w:r>
    </w:p>
    <w:p w14:paraId="150B65DD" w14:textId="77777777" w:rsidR="00470CA9" w:rsidRPr="00470CA9" w:rsidRDefault="00470CA9" w:rsidP="00470CA9">
      <w:r w:rsidRPr="00470CA9">
        <w:pict w14:anchorId="375E6664">
          <v:rect id="_x0000_i1079" style="width:0;height:1.5pt" o:hralign="center" o:hrstd="t" o:hr="t" fillcolor="#a0a0a0" stroked="f"/>
        </w:pict>
      </w:r>
    </w:p>
    <w:p w14:paraId="714F7B31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Overall Performance Overview</w:t>
      </w:r>
    </w:p>
    <w:p w14:paraId="1135F194" w14:textId="77777777" w:rsidR="00470CA9" w:rsidRPr="00470CA9" w:rsidRDefault="00470CA9" w:rsidP="00470CA9">
      <w:pPr>
        <w:numPr>
          <w:ilvl w:val="0"/>
          <w:numId w:val="1"/>
        </w:numPr>
      </w:pPr>
      <w:r w:rsidRPr="00470CA9">
        <w:t xml:space="preserve">Adidas generated </w:t>
      </w:r>
      <w:r w:rsidRPr="00470CA9">
        <w:rPr>
          <w:b/>
          <w:bCs/>
        </w:rPr>
        <w:t>$900M in total sales</w:t>
      </w:r>
      <w:r w:rsidRPr="00470CA9">
        <w:t xml:space="preserve"> with a </w:t>
      </w:r>
      <w:r w:rsidRPr="00470CA9">
        <w:rPr>
          <w:b/>
          <w:bCs/>
        </w:rPr>
        <w:t>profit of $332M</w:t>
      </w:r>
      <w:r w:rsidRPr="00470CA9">
        <w:t xml:space="preserve">, resulting in a strong </w:t>
      </w:r>
      <w:r w:rsidRPr="00470CA9">
        <w:rPr>
          <w:b/>
          <w:bCs/>
        </w:rPr>
        <w:t>operating margin of 42%</w:t>
      </w:r>
      <w:r w:rsidRPr="00470CA9">
        <w:t>.</w:t>
      </w:r>
    </w:p>
    <w:p w14:paraId="5D816819" w14:textId="77777777" w:rsidR="00470CA9" w:rsidRPr="00470CA9" w:rsidRDefault="00470CA9" w:rsidP="00470CA9">
      <w:pPr>
        <w:numPr>
          <w:ilvl w:val="0"/>
          <w:numId w:val="1"/>
        </w:numPr>
      </w:pPr>
      <w:r w:rsidRPr="00470CA9">
        <w:t xml:space="preserve">A total of </w:t>
      </w:r>
      <w:r w:rsidRPr="00470CA9">
        <w:rPr>
          <w:b/>
          <w:bCs/>
        </w:rPr>
        <w:t>2 million units</w:t>
      </w:r>
      <w:r w:rsidRPr="00470CA9">
        <w:t xml:space="preserve"> were sold at an </w:t>
      </w:r>
      <w:r w:rsidRPr="00470CA9">
        <w:rPr>
          <w:b/>
          <w:bCs/>
        </w:rPr>
        <w:t>average price of $45 per unit</w:t>
      </w:r>
      <w:r w:rsidRPr="00470CA9">
        <w:t>, indicating effective pricing and healthy demand.</w:t>
      </w:r>
    </w:p>
    <w:p w14:paraId="48835CCD" w14:textId="77777777" w:rsidR="00470CA9" w:rsidRPr="00470CA9" w:rsidRDefault="00470CA9" w:rsidP="00470CA9">
      <w:pPr>
        <w:numPr>
          <w:ilvl w:val="0"/>
          <w:numId w:val="1"/>
        </w:numPr>
      </w:pPr>
      <w:r w:rsidRPr="00470CA9">
        <w:t>The overall performance reflects a profitable and well-balanced sales strategy.</w:t>
      </w:r>
    </w:p>
    <w:p w14:paraId="728BF684" w14:textId="77777777" w:rsidR="00470CA9" w:rsidRPr="00470CA9" w:rsidRDefault="00470CA9" w:rsidP="00470CA9">
      <w:r w:rsidRPr="00470CA9">
        <w:pict w14:anchorId="3B8AEDAF">
          <v:rect id="_x0000_i1080" style="width:0;height:1.5pt" o:hralign="center" o:hrstd="t" o:hr="t" fillcolor="#a0a0a0" stroked="f"/>
        </w:pict>
      </w:r>
    </w:p>
    <w:p w14:paraId="7E7D222E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Sales Trend Analysis</w:t>
      </w:r>
    </w:p>
    <w:p w14:paraId="21954536" w14:textId="77777777" w:rsidR="00470CA9" w:rsidRPr="00470CA9" w:rsidRDefault="00470CA9" w:rsidP="00470CA9">
      <w:pPr>
        <w:numPr>
          <w:ilvl w:val="0"/>
          <w:numId w:val="2"/>
        </w:numPr>
      </w:pPr>
      <w:r w:rsidRPr="00470CA9">
        <w:t xml:space="preserve">Monthly sales show </w:t>
      </w:r>
      <w:r w:rsidRPr="00470CA9">
        <w:rPr>
          <w:b/>
          <w:bCs/>
        </w:rPr>
        <w:t>seasonal fluctuations</w:t>
      </w:r>
      <w:r w:rsidRPr="00470CA9">
        <w:t xml:space="preserve">, with peak sales observed around </w:t>
      </w:r>
      <w:r w:rsidRPr="00470CA9">
        <w:rPr>
          <w:b/>
          <w:bCs/>
        </w:rPr>
        <w:t>mid-year and year-end periods</w:t>
      </w:r>
      <w:r w:rsidRPr="00470CA9">
        <w:t>.</w:t>
      </w:r>
    </w:p>
    <w:p w14:paraId="768CDDE3" w14:textId="77777777" w:rsidR="00470CA9" w:rsidRPr="00470CA9" w:rsidRDefault="00470CA9" w:rsidP="00470CA9">
      <w:pPr>
        <w:numPr>
          <w:ilvl w:val="0"/>
          <w:numId w:val="2"/>
        </w:numPr>
      </w:pPr>
      <w:r w:rsidRPr="00470CA9">
        <w:t>The lowest sales are recorded during early months, followed by a steady recovery and strong finish towards December.</w:t>
      </w:r>
    </w:p>
    <w:p w14:paraId="1529534A" w14:textId="77777777" w:rsidR="00470CA9" w:rsidRPr="00470CA9" w:rsidRDefault="00470CA9" w:rsidP="00470CA9">
      <w:pPr>
        <w:numPr>
          <w:ilvl w:val="0"/>
          <w:numId w:val="2"/>
        </w:numPr>
      </w:pPr>
      <w:r w:rsidRPr="00470CA9">
        <w:t>This trend suggests opportunities for targeted promotions during low-performing months.</w:t>
      </w:r>
    </w:p>
    <w:p w14:paraId="6D6D013E" w14:textId="77777777" w:rsidR="00470CA9" w:rsidRPr="00470CA9" w:rsidRDefault="00470CA9" w:rsidP="00470CA9">
      <w:r w:rsidRPr="00470CA9">
        <w:pict w14:anchorId="5BCD26DE">
          <v:rect id="_x0000_i1081" style="width:0;height:1.5pt" o:hralign="center" o:hrstd="t" o:hr="t" fillcolor="#a0a0a0" stroked="f"/>
        </w:pict>
      </w:r>
    </w:p>
    <w:p w14:paraId="09D58CAE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Regional Performance Insights</w:t>
      </w:r>
    </w:p>
    <w:p w14:paraId="6082AB14" w14:textId="77777777" w:rsidR="00470CA9" w:rsidRPr="00470CA9" w:rsidRDefault="00470CA9" w:rsidP="00470CA9">
      <w:pPr>
        <w:numPr>
          <w:ilvl w:val="0"/>
          <w:numId w:val="3"/>
        </w:numPr>
      </w:pPr>
      <w:r w:rsidRPr="00470CA9">
        <w:t xml:space="preserve">The </w:t>
      </w:r>
      <w:r w:rsidRPr="00470CA9">
        <w:rPr>
          <w:b/>
          <w:bCs/>
        </w:rPr>
        <w:t>West region</w:t>
      </w:r>
      <w:r w:rsidRPr="00470CA9">
        <w:t xml:space="preserve"> contributes the highest share of total sales (</w:t>
      </w:r>
      <w:r w:rsidRPr="00470CA9">
        <w:rPr>
          <w:b/>
          <w:bCs/>
        </w:rPr>
        <w:t>~30%</w:t>
      </w:r>
      <w:r w:rsidRPr="00470CA9">
        <w:t>), making it the strongest performing region.</w:t>
      </w:r>
    </w:p>
    <w:p w14:paraId="0FE9FD21" w14:textId="77777777" w:rsidR="00470CA9" w:rsidRPr="00470CA9" w:rsidRDefault="00470CA9" w:rsidP="00470CA9">
      <w:pPr>
        <w:numPr>
          <w:ilvl w:val="0"/>
          <w:numId w:val="3"/>
        </w:numPr>
      </w:pPr>
      <w:r w:rsidRPr="00470CA9">
        <w:t>Northeast and Southeast regions also show solid contributions, while Midwest records relatively lower performance.</w:t>
      </w:r>
    </w:p>
    <w:p w14:paraId="1EA08CD1" w14:textId="77777777" w:rsidR="00470CA9" w:rsidRPr="00470CA9" w:rsidRDefault="00470CA9" w:rsidP="00470CA9">
      <w:pPr>
        <w:numPr>
          <w:ilvl w:val="0"/>
          <w:numId w:val="3"/>
        </w:numPr>
      </w:pPr>
      <w:r w:rsidRPr="00470CA9">
        <w:t>Unit sales distribution aligns closely with revenue, indicating consistent pricing across regions.</w:t>
      </w:r>
    </w:p>
    <w:p w14:paraId="1046FFC0" w14:textId="77777777" w:rsidR="00470CA9" w:rsidRPr="00470CA9" w:rsidRDefault="00470CA9" w:rsidP="00470CA9">
      <w:r w:rsidRPr="00470CA9">
        <w:pict w14:anchorId="6858F9BF">
          <v:rect id="_x0000_i1082" style="width:0;height:1.5pt" o:hralign="center" o:hrstd="t" o:hr="t" fillcolor="#a0a0a0" stroked="f"/>
        </w:pict>
      </w:r>
    </w:p>
    <w:p w14:paraId="0ECE29B7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State-Level Performance</w:t>
      </w:r>
    </w:p>
    <w:p w14:paraId="16231777" w14:textId="77777777" w:rsidR="00470CA9" w:rsidRPr="00470CA9" w:rsidRDefault="00470CA9" w:rsidP="00470CA9">
      <w:pPr>
        <w:numPr>
          <w:ilvl w:val="0"/>
          <w:numId w:val="4"/>
        </w:numPr>
      </w:pPr>
      <w:r w:rsidRPr="00470CA9">
        <w:rPr>
          <w:b/>
          <w:bCs/>
        </w:rPr>
        <w:lastRenderedPageBreak/>
        <w:t>New York, California, and Florida</w:t>
      </w:r>
      <w:r w:rsidRPr="00470CA9">
        <w:t xml:space="preserve"> emerge as top-performing states in terms of sales.</w:t>
      </w:r>
    </w:p>
    <w:p w14:paraId="5B47FCBB" w14:textId="77777777" w:rsidR="00470CA9" w:rsidRPr="00470CA9" w:rsidRDefault="00470CA9" w:rsidP="00470CA9">
      <w:pPr>
        <w:numPr>
          <w:ilvl w:val="0"/>
          <w:numId w:val="4"/>
        </w:numPr>
      </w:pPr>
      <w:r w:rsidRPr="00470CA9">
        <w:t>Several states show moderate but consistent contributions, highlighting potential for regional growth strategies.</w:t>
      </w:r>
    </w:p>
    <w:p w14:paraId="73B77D3A" w14:textId="77777777" w:rsidR="00470CA9" w:rsidRPr="00470CA9" w:rsidRDefault="00470CA9" w:rsidP="00470CA9">
      <w:r w:rsidRPr="00470CA9">
        <w:pict w14:anchorId="38721231">
          <v:rect id="_x0000_i1083" style="width:0;height:1.5pt" o:hralign="center" o:hrstd="t" o:hr="t" fillcolor="#a0a0a0" stroked="f"/>
        </w:pict>
      </w:r>
    </w:p>
    <w:p w14:paraId="614C1E78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Product Performance</w:t>
      </w:r>
    </w:p>
    <w:p w14:paraId="4039B9EF" w14:textId="77777777" w:rsidR="00470CA9" w:rsidRPr="00470CA9" w:rsidRDefault="00470CA9" w:rsidP="00470CA9">
      <w:pPr>
        <w:numPr>
          <w:ilvl w:val="0"/>
          <w:numId w:val="5"/>
        </w:numPr>
      </w:pPr>
      <w:r w:rsidRPr="00470CA9">
        <w:rPr>
          <w:b/>
          <w:bCs/>
        </w:rPr>
        <w:t>Men’s Street Footwear and Women’s Apparel</w:t>
      </w:r>
      <w:r w:rsidRPr="00470CA9">
        <w:t xml:space="preserve"> are the highest revenue-generating product categories.</w:t>
      </w:r>
    </w:p>
    <w:p w14:paraId="019EE596" w14:textId="77777777" w:rsidR="00470CA9" w:rsidRPr="00470CA9" w:rsidRDefault="00470CA9" w:rsidP="00470CA9">
      <w:pPr>
        <w:numPr>
          <w:ilvl w:val="0"/>
          <w:numId w:val="5"/>
        </w:numPr>
      </w:pPr>
      <w:r w:rsidRPr="00470CA9">
        <w:t>Lower-performing categories still maintain steady sales, indicating a diversified product portfolio.</w:t>
      </w:r>
    </w:p>
    <w:p w14:paraId="47DA6436" w14:textId="77777777" w:rsidR="00470CA9" w:rsidRPr="00470CA9" w:rsidRDefault="00470CA9" w:rsidP="00470CA9">
      <w:pPr>
        <w:numPr>
          <w:ilvl w:val="0"/>
          <w:numId w:val="5"/>
        </w:numPr>
      </w:pPr>
      <w:r w:rsidRPr="00470CA9">
        <w:t>This balance reduces dependency on a single product line.</w:t>
      </w:r>
    </w:p>
    <w:p w14:paraId="204358B7" w14:textId="77777777" w:rsidR="00470CA9" w:rsidRPr="00470CA9" w:rsidRDefault="00470CA9" w:rsidP="00470CA9">
      <w:r w:rsidRPr="00470CA9">
        <w:pict w14:anchorId="0B30BAAB">
          <v:rect id="_x0000_i1084" style="width:0;height:1.5pt" o:hralign="center" o:hrstd="t" o:hr="t" fillcolor="#a0a0a0" stroked="f"/>
        </w:pict>
      </w:r>
    </w:p>
    <w:p w14:paraId="52AF3567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Retailer &amp; Sales Channel Analysis</w:t>
      </w:r>
    </w:p>
    <w:p w14:paraId="26A090DA" w14:textId="77777777" w:rsidR="00470CA9" w:rsidRPr="00470CA9" w:rsidRDefault="00470CA9" w:rsidP="00470CA9">
      <w:pPr>
        <w:numPr>
          <w:ilvl w:val="0"/>
          <w:numId w:val="6"/>
        </w:numPr>
      </w:pPr>
      <w:r w:rsidRPr="00470CA9">
        <w:rPr>
          <w:b/>
          <w:bCs/>
        </w:rPr>
        <w:t>West Gear and Foot Locker</w:t>
      </w:r>
      <w:r w:rsidRPr="00470CA9">
        <w:t xml:space="preserve"> are the leading retail partners, contributing the highest sales volumes.</w:t>
      </w:r>
    </w:p>
    <w:p w14:paraId="78E1CC44" w14:textId="77777777" w:rsidR="00470CA9" w:rsidRPr="00470CA9" w:rsidRDefault="00470CA9" w:rsidP="00470CA9">
      <w:pPr>
        <w:numPr>
          <w:ilvl w:val="0"/>
          <w:numId w:val="6"/>
        </w:numPr>
      </w:pPr>
      <w:r w:rsidRPr="00470CA9">
        <w:rPr>
          <w:b/>
          <w:bCs/>
        </w:rPr>
        <w:t>In-store sales</w:t>
      </w:r>
      <w:r w:rsidRPr="00470CA9">
        <w:t xml:space="preserve"> dominate as the primary sales channel, followed by outlet and online channels.</w:t>
      </w:r>
    </w:p>
    <w:p w14:paraId="09663B13" w14:textId="77777777" w:rsidR="00470CA9" w:rsidRPr="00470CA9" w:rsidRDefault="00470CA9" w:rsidP="00470CA9">
      <w:pPr>
        <w:numPr>
          <w:ilvl w:val="0"/>
          <w:numId w:val="6"/>
        </w:numPr>
      </w:pPr>
      <w:r w:rsidRPr="00470CA9">
        <w:t>Online sales, while lower, present a growth opportunity given changing customer behavior.</w:t>
      </w:r>
    </w:p>
    <w:p w14:paraId="31F510CF" w14:textId="77777777" w:rsidR="00470CA9" w:rsidRPr="00470CA9" w:rsidRDefault="00470CA9" w:rsidP="00470CA9">
      <w:r w:rsidRPr="00470CA9">
        <w:pict w14:anchorId="6775F5EE">
          <v:rect id="_x0000_i1085" style="width:0;height:1.5pt" o:hralign="center" o:hrstd="t" o:hr="t" fillcolor="#a0a0a0" stroked="f"/>
        </w:pict>
      </w:r>
    </w:p>
    <w:p w14:paraId="2192A4ED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Key Business Insights</w:t>
      </w:r>
    </w:p>
    <w:p w14:paraId="11CDD5C4" w14:textId="77777777" w:rsidR="00470CA9" w:rsidRPr="00470CA9" w:rsidRDefault="00470CA9" w:rsidP="00470CA9">
      <w:pPr>
        <w:numPr>
          <w:ilvl w:val="0"/>
          <w:numId w:val="7"/>
        </w:numPr>
      </w:pPr>
      <w:r w:rsidRPr="00470CA9">
        <w:t>Strong profitability indicates effective cost and pricing management.</w:t>
      </w:r>
    </w:p>
    <w:p w14:paraId="208E867D" w14:textId="77777777" w:rsidR="00470CA9" w:rsidRPr="00470CA9" w:rsidRDefault="00470CA9" w:rsidP="00470CA9">
      <w:pPr>
        <w:numPr>
          <w:ilvl w:val="0"/>
          <w:numId w:val="7"/>
        </w:numPr>
      </w:pPr>
      <w:r w:rsidRPr="00470CA9">
        <w:t>Regional and retailer concentration highlights where Adidas should continue investing.</w:t>
      </w:r>
    </w:p>
    <w:p w14:paraId="16CA2B6D" w14:textId="77777777" w:rsidR="00470CA9" w:rsidRPr="00470CA9" w:rsidRDefault="00470CA9" w:rsidP="00470CA9">
      <w:pPr>
        <w:numPr>
          <w:ilvl w:val="0"/>
          <w:numId w:val="7"/>
        </w:numPr>
      </w:pPr>
      <w:r w:rsidRPr="00470CA9">
        <w:t>Online channel underperformance suggests scope for digital expansion and targeted marketing.</w:t>
      </w:r>
    </w:p>
    <w:p w14:paraId="64F0A90C" w14:textId="77777777" w:rsidR="00470CA9" w:rsidRPr="00470CA9" w:rsidRDefault="00470CA9" w:rsidP="00470CA9">
      <w:r w:rsidRPr="00470CA9">
        <w:pict w14:anchorId="33689410">
          <v:rect id="_x0000_i1086" style="width:0;height:1.5pt" o:hralign="center" o:hrstd="t" o:hr="t" fillcolor="#a0a0a0" stroked="f"/>
        </w:pict>
      </w:r>
    </w:p>
    <w:p w14:paraId="7F9210E4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Recommendations</w:t>
      </w:r>
    </w:p>
    <w:p w14:paraId="219EEB5F" w14:textId="77777777" w:rsidR="00470CA9" w:rsidRPr="00470CA9" w:rsidRDefault="00470CA9" w:rsidP="00470CA9">
      <w:pPr>
        <w:numPr>
          <w:ilvl w:val="0"/>
          <w:numId w:val="8"/>
        </w:numPr>
      </w:pPr>
      <w:r w:rsidRPr="00470CA9">
        <w:t>Increase marketing and promotional activities in underperforming regions to balance regional sales.</w:t>
      </w:r>
    </w:p>
    <w:p w14:paraId="68B86EC1" w14:textId="77777777" w:rsidR="00470CA9" w:rsidRPr="00470CA9" w:rsidRDefault="00470CA9" w:rsidP="00470CA9">
      <w:pPr>
        <w:numPr>
          <w:ilvl w:val="0"/>
          <w:numId w:val="8"/>
        </w:numPr>
      </w:pPr>
      <w:r w:rsidRPr="00470CA9">
        <w:t>Strengthen online sales strategies to capture digital-first customers.</w:t>
      </w:r>
    </w:p>
    <w:p w14:paraId="067DDAC0" w14:textId="77777777" w:rsidR="00470CA9" w:rsidRPr="00470CA9" w:rsidRDefault="00470CA9" w:rsidP="00470CA9">
      <w:pPr>
        <w:numPr>
          <w:ilvl w:val="0"/>
          <w:numId w:val="8"/>
        </w:numPr>
      </w:pPr>
      <w:r w:rsidRPr="00470CA9">
        <w:lastRenderedPageBreak/>
        <w:t>Leverage top-performing retailers and states for new product launches.</w:t>
      </w:r>
    </w:p>
    <w:p w14:paraId="253DBC29" w14:textId="77777777" w:rsidR="00470CA9" w:rsidRPr="00470CA9" w:rsidRDefault="00470CA9" w:rsidP="00470CA9">
      <w:pPr>
        <w:numPr>
          <w:ilvl w:val="0"/>
          <w:numId w:val="8"/>
        </w:numPr>
      </w:pPr>
      <w:r w:rsidRPr="00470CA9">
        <w:t>Use seasonal trends to optimize inventory and promotional planning.</w:t>
      </w:r>
    </w:p>
    <w:p w14:paraId="4C684484" w14:textId="77777777" w:rsidR="00470CA9" w:rsidRPr="00470CA9" w:rsidRDefault="00470CA9" w:rsidP="00470CA9">
      <w:r w:rsidRPr="00470CA9">
        <w:pict w14:anchorId="4E04F32B">
          <v:rect id="_x0000_i1087" style="width:0;height:1.5pt" o:hralign="center" o:hrstd="t" o:hr="t" fillcolor="#a0a0a0" stroked="f"/>
        </w:pict>
      </w:r>
    </w:p>
    <w:p w14:paraId="57194AB4" w14:textId="77777777" w:rsidR="00470CA9" w:rsidRPr="00470CA9" w:rsidRDefault="00470CA9" w:rsidP="00470CA9">
      <w:pPr>
        <w:rPr>
          <w:b/>
          <w:bCs/>
        </w:rPr>
      </w:pPr>
      <w:r w:rsidRPr="00470CA9">
        <w:rPr>
          <w:b/>
          <w:bCs/>
        </w:rPr>
        <w:t>Conclusion</w:t>
      </w:r>
    </w:p>
    <w:p w14:paraId="0053B190" w14:textId="77777777" w:rsidR="00470CA9" w:rsidRPr="00470CA9" w:rsidRDefault="00470CA9" w:rsidP="00470CA9">
      <w:r w:rsidRPr="00470CA9">
        <w:t>This dashboard provides a comprehensive executive-level view of Adidas’ sales performance. The insights derived can support strategic planning, regional optimization, and channel growth initiatives, making this analysis relevant for business stakeholders and decision-makers.</w:t>
      </w:r>
    </w:p>
    <w:p w14:paraId="3CC1E5AB" w14:textId="77777777" w:rsidR="00470CA9" w:rsidRDefault="00470CA9"/>
    <w:sectPr w:rsidR="00470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F81"/>
    <w:multiLevelType w:val="multilevel"/>
    <w:tmpl w:val="9C5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C7BCB"/>
    <w:multiLevelType w:val="multilevel"/>
    <w:tmpl w:val="C2F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C2220"/>
    <w:multiLevelType w:val="multilevel"/>
    <w:tmpl w:val="B24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11EB6"/>
    <w:multiLevelType w:val="multilevel"/>
    <w:tmpl w:val="CFE8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732CB"/>
    <w:multiLevelType w:val="multilevel"/>
    <w:tmpl w:val="B14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937AA"/>
    <w:multiLevelType w:val="multilevel"/>
    <w:tmpl w:val="6F42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C601A"/>
    <w:multiLevelType w:val="multilevel"/>
    <w:tmpl w:val="355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6227B"/>
    <w:multiLevelType w:val="multilevel"/>
    <w:tmpl w:val="1C40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332683">
    <w:abstractNumId w:val="1"/>
  </w:num>
  <w:num w:numId="2" w16cid:durableId="287397682">
    <w:abstractNumId w:val="0"/>
  </w:num>
  <w:num w:numId="3" w16cid:durableId="1697807268">
    <w:abstractNumId w:val="7"/>
  </w:num>
  <w:num w:numId="4" w16cid:durableId="913392645">
    <w:abstractNumId w:val="2"/>
  </w:num>
  <w:num w:numId="5" w16cid:durableId="1839492742">
    <w:abstractNumId w:val="5"/>
  </w:num>
  <w:num w:numId="6" w16cid:durableId="76218932">
    <w:abstractNumId w:val="6"/>
  </w:num>
  <w:num w:numId="7" w16cid:durableId="383869695">
    <w:abstractNumId w:val="4"/>
  </w:num>
  <w:num w:numId="8" w16cid:durableId="1565067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A9"/>
    <w:rsid w:val="00470CA9"/>
    <w:rsid w:val="00B2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045"/>
  <w15:chartTrackingRefBased/>
  <w15:docId w15:val="{F0A281E1-EA97-423F-AF3A-09B0361C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aayush.padanya@outlook.com</dc:creator>
  <cp:keywords/>
  <dc:description/>
  <cp:lastModifiedBy>aayush.padanya@outlook.com</cp:lastModifiedBy>
  <cp:revision>1</cp:revision>
  <dcterms:created xsi:type="dcterms:W3CDTF">2026-01-03T11:26:00Z</dcterms:created>
  <dcterms:modified xsi:type="dcterms:W3CDTF">2026-01-03T11:27:00Z</dcterms:modified>
</cp:coreProperties>
</file>