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2C59"/>
          <w:sz w:val="48"/>
        </w:rPr>
        <w:t>Darukaa.Earth — Hackathon Submission Report</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Pr>
          <w:p>
            <w:pPr>
              <w:jc w:val="center"/>
            </w:pPr>
            <w:r>
              <w:rPr>
                <w:b/>
                <w:color w:val="0F2C59"/>
                <w:sz w:val="24"/>
              </w:rPr>
              <w:t>Full-Stack Geospatial Data Analytics Platform for Carbon &amp; Biodiversity Management</w:t>
              <w:br/>
            </w:r>
            <w:r>
              <w:rPr>
                <w:b/>
              </w:rPr>
              <w:t xml:space="preserve">GitHub Repository: </w:t>
            </w:r>
            <w:r>
              <w:rPr>
                <w:color w:val="0056B3"/>
              </w:rPr>
              <w:t>https://github.com/aayushpatilcodes-dot/darukaa-earth.git</w:t>
              <w:br/>
            </w:r>
            <w:r>
              <w:rPr>
                <w:b/>
              </w:rPr>
              <w:t xml:space="preserve">Challenge: </w:t>
            </w:r>
            <w:r>
              <w:rPr>
                <w:i/>
              </w:rPr>
              <w:t>Darukaa.Earth Full-Stack Developer Hackathon Challenge</w:t>
            </w:r>
          </w:p>
        </w:tc>
      </w:tr>
    </w:tbl>
    <w:p/>
    <w:p>
      <w:pPr>
        <w:spacing w:before="320" w:after="120"/>
      </w:pPr>
      <w:r>
        <w:rPr>
          <w:rFonts w:ascii="Calibri" w:hAnsi="Calibri"/>
          <w:b/>
          <w:color w:val="0F2C59"/>
          <w:sz w:val="32"/>
        </w:rPr>
        <w:t>1. Executive Summary</w:t>
      </w:r>
    </w:p>
    <w:p>
      <w:pPr>
        <w:spacing w:after="160"/>
      </w:pPr>
      <w:r>
        <w:t>Darukaa.Earth is a full-stack, enterprise-grade geospatial analytics dashboard engineered to manage, visualize, and monitor carbon credit and biodiversity restoration projects across the globe. Administrators can create environmental projects, capture precise geographic site boundaries using interactive polygon drawing tools, and analyze multi-year environmental time-series metrics (NDVI, Carbon Stock, Biodiversity Index, and Canopy Cover).</w:t>
      </w:r>
    </w:p>
    <w:p>
      <w:pPr>
        <w:spacing w:after="240"/>
      </w:pPr>
      <w:r>
        <w:t>This document serves as the official Submission Deliverable adhering to all requirements set forth in the Darukaa.Earth Full-Stack Developer Hackathon specification.</w:t>
      </w:r>
    </w:p>
    <w:p>
      <w:pPr>
        <w:spacing w:before="320" w:after="120"/>
      </w:pPr>
      <w:r>
        <w:rPr>
          <w:rFonts w:ascii="Calibri" w:hAnsi="Calibri"/>
          <w:b/>
          <w:color w:val="0F2C59"/>
          <w:sz w:val="32"/>
        </w:rPr>
        <w:t>2. Key Deliverables &amp; Live Access</w:t>
      </w:r>
    </w:p>
    <w:tbl>
      <w:tblPr>
        <w:tblW w:type="auto" w:w="0"/>
        <w:jc w:val="center"/>
        <w:tblLook w:firstColumn="1" w:firstRow="1" w:lastColumn="0" w:lastRow="0" w:noHBand="0" w:noVBand="1" w:val="04A0"/>
      </w:tblPr>
      <w:tblGrid>
        <w:gridCol w:w="3312"/>
        <w:gridCol w:w="3312"/>
        <w:gridCol w:w="3312"/>
      </w:tblGrid>
      <w:tr>
        <w:tc>
          <w:tcPr>
            <w:tcW w:type="dxa" w:w="3312"/>
            <w:shd w:fill="0F2C59"/>
            <w:tcMar>
              <w:top w:w="100" w:type="dxa"/>
              <w:bottom w:w="100" w:type="dxa"/>
              <w:left w:w="120" w:type="dxa"/>
              <w:right w:w="120" w:type="dxa"/>
            </w:tcMar>
          </w:tcPr>
          <w:p>
            <w:r>
              <w:rPr>
                <w:b/>
                <w:color w:val="FFFFFF"/>
              </w:rPr>
              <w:t>Deliverable</w:t>
            </w:r>
          </w:p>
        </w:tc>
        <w:tc>
          <w:tcPr>
            <w:tcW w:type="dxa" w:w="3312"/>
            <w:shd w:fill="0F2C59"/>
            <w:tcMar>
              <w:top w:w="100" w:type="dxa"/>
              <w:bottom w:w="100" w:type="dxa"/>
              <w:left w:w="120" w:type="dxa"/>
              <w:right w:w="120" w:type="dxa"/>
            </w:tcMar>
          </w:tcPr>
          <w:p>
            <w:r>
              <w:rPr>
                <w:b/>
                <w:color w:val="FFFFFF"/>
              </w:rPr>
              <w:t>Details / Links</w:t>
            </w:r>
          </w:p>
        </w:tc>
        <w:tc>
          <w:tcPr>
            <w:tcW w:type="dxa" w:w="3312"/>
            <w:shd w:fill="0F2C59"/>
            <w:tcMar>
              <w:top w:w="100" w:type="dxa"/>
              <w:bottom w:w="100" w:type="dxa"/>
              <w:left w:w="120" w:type="dxa"/>
              <w:right w:w="120" w:type="dxa"/>
            </w:tcMar>
          </w:tcPr>
          <w:p>
            <w:r>
              <w:rPr>
                <w:b/>
                <w:color w:val="FFFFFF"/>
              </w:rPr>
              <w:t>Status</w:t>
            </w:r>
          </w:p>
        </w:tc>
      </w:tr>
      <w:tr>
        <w:tc>
          <w:tcPr>
            <w:tcW w:type="dxa" w:w="3312"/>
            <w:shd w:fill="FFFFFF"/>
            <w:tcMar>
              <w:top w:w="80" w:type="dxa"/>
              <w:bottom w:w="80" w:type="dxa"/>
              <w:left w:w="120" w:type="dxa"/>
              <w:right w:w="120" w:type="dxa"/>
            </w:tcMar>
          </w:tcPr>
          <w:p>
            <w:r>
              <w:rPr>
                <w:b/>
              </w:rPr>
              <w:t>GitHub Repository</w:t>
            </w:r>
          </w:p>
        </w:tc>
        <w:tc>
          <w:tcPr>
            <w:tcW w:type="dxa" w:w="3312"/>
            <w:shd w:fill="FFFFFF"/>
            <w:tcMar>
              <w:top w:w="80" w:type="dxa"/>
              <w:bottom w:w="80" w:type="dxa"/>
              <w:left w:w="120" w:type="dxa"/>
              <w:right w:w="120" w:type="dxa"/>
            </w:tcMar>
          </w:tcPr>
          <w:p>
            <w:r>
              <w:t>https://github.com/aayushpatilcodes-dot/darukaa-earth.git</w:t>
            </w:r>
          </w:p>
        </w:tc>
        <w:tc>
          <w:tcPr>
            <w:tcW w:type="dxa" w:w="3312"/>
            <w:shd w:fill="FFFFFF"/>
            <w:tcMar>
              <w:top w:w="80" w:type="dxa"/>
              <w:bottom w:w="80" w:type="dxa"/>
              <w:left w:w="120" w:type="dxa"/>
              <w:right w:w="120" w:type="dxa"/>
            </w:tcMar>
          </w:tcPr>
          <w:p>
            <w:r>
              <w:t>Complete &amp; Verified</w:t>
            </w:r>
          </w:p>
        </w:tc>
      </w:tr>
      <w:tr>
        <w:tc>
          <w:tcPr>
            <w:tcW w:type="dxa" w:w="3312"/>
            <w:shd w:fill="F9FAFB"/>
            <w:tcMar>
              <w:top w:w="80" w:type="dxa"/>
              <w:bottom w:w="80" w:type="dxa"/>
              <w:left w:w="120" w:type="dxa"/>
              <w:right w:w="120" w:type="dxa"/>
            </w:tcMar>
          </w:tcPr>
          <w:p>
            <w:r>
              <w:rPr>
                <w:b/>
              </w:rPr>
              <w:t>Frontend Deployment</w:t>
            </w:r>
          </w:p>
        </w:tc>
        <w:tc>
          <w:tcPr>
            <w:tcW w:type="dxa" w:w="3312"/>
            <w:shd w:fill="F9FAFB"/>
            <w:tcMar>
              <w:top w:w="80" w:type="dxa"/>
              <w:bottom w:w="80" w:type="dxa"/>
              <w:left w:w="120" w:type="dxa"/>
              <w:right w:w="120" w:type="dxa"/>
            </w:tcMar>
          </w:tcPr>
          <w:p>
            <w:r>
              <w:t>https://darukaa-earth.vercel.app</w:t>
            </w:r>
          </w:p>
        </w:tc>
        <w:tc>
          <w:tcPr>
            <w:tcW w:type="dxa" w:w="3312"/>
            <w:shd w:fill="F9FAFB"/>
            <w:tcMar>
              <w:top w:w="80" w:type="dxa"/>
              <w:bottom w:w="80" w:type="dxa"/>
              <w:left w:w="120" w:type="dxa"/>
              <w:right w:w="120" w:type="dxa"/>
            </w:tcMar>
          </w:tcPr>
          <w:p>
            <w:r>
              <w:t>Live URL (Vercel)</w:t>
            </w:r>
          </w:p>
        </w:tc>
      </w:tr>
      <w:tr>
        <w:tc>
          <w:tcPr>
            <w:tcW w:type="dxa" w:w="3312"/>
            <w:shd w:fill="FFFFFF"/>
            <w:tcMar>
              <w:top w:w="80" w:type="dxa"/>
              <w:bottom w:w="80" w:type="dxa"/>
              <w:left w:w="120" w:type="dxa"/>
              <w:right w:w="120" w:type="dxa"/>
            </w:tcMar>
          </w:tcPr>
          <w:p>
            <w:r>
              <w:rPr>
                <w:b/>
              </w:rPr>
              <w:t>Backend API</w:t>
            </w:r>
          </w:p>
        </w:tc>
        <w:tc>
          <w:tcPr>
            <w:tcW w:type="dxa" w:w="3312"/>
            <w:shd w:fill="FFFFFF"/>
            <w:tcMar>
              <w:top w:w="80" w:type="dxa"/>
              <w:bottom w:w="80" w:type="dxa"/>
              <w:left w:w="120" w:type="dxa"/>
              <w:right w:w="120" w:type="dxa"/>
            </w:tcMar>
          </w:tcPr>
          <w:p>
            <w:r>
              <w:t>https://darukaa-backend.onrender.com</w:t>
            </w:r>
          </w:p>
        </w:tc>
        <w:tc>
          <w:tcPr>
            <w:tcW w:type="dxa" w:w="3312"/>
            <w:shd w:fill="FFFFFF"/>
            <w:tcMar>
              <w:top w:w="80" w:type="dxa"/>
              <w:bottom w:w="80" w:type="dxa"/>
              <w:left w:w="120" w:type="dxa"/>
              <w:right w:w="120" w:type="dxa"/>
            </w:tcMar>
          </w:tcPr>
          <w:p>
            <w:r>
              <w:t>Live URL (Render)</w:t>
            </w:r>
          </w:p>
        </w:tc>
      </w:tr>
      <w:tr>
        <w:tc>
          <w:tcPr>
            <w:tcW w:type="dxa" w:w="3312"/>
            <w:shd w:fill="F9FAFB"/>
            <w:tcMar>
              <w:top w:w="80" w:type="dxa"/>
              <w:bottom w:w="80" w:type="dxa"/>
              <w:left w:w="120" w:type="dxa"/>
              <w:right w:w="120" w:type="dxa"/>
            </w:tcMar>
          </w:tcPr>
          <w:p>
            <w:r>
              <w:rPr>
                <w:b/>
              </w:rPr>
              <w:t>Database</w:t>
            </w:r>
          </w:p>
        </w:tc>
        <w:tc>
          <w:tcPr>
            <w:tcW w:type="dxa" w:w="3312"/>
            <w:shd w:fill="F9FAFB"/>
            <w:tcMar>
              <w:top w:w="80" w:type="dxa"/>
              <w:bottom w:w="80" w:type="dxa"/>
              <w:left w:w="120" w:type="dxa"/>
              <w:right w:w="120" w:type="dxa"/>
            </w:tcMar>
          </w:tcPr>
          <w:p>
            <w:r>
              <w:t>Aiven PostgreSQL 16 with native PostGIS 3.4</w:t>
            </w:r>
          </w:p>
        </w:tc>
        <w:tc>
          <w:tcPr>
            <w:tcW w:type="dxa" w:w="3312"/>
            <w:shd w:fill="F9FAFB"/>
            <w:tcMar>
              <w:top w:w="80" w:type="dxa"/>
              <w:bottom w:w="80" w:type="dxa"/>
              <w:left w:w="120" w:type="dxa"/>
              <w:right w:w="120" w:type="dxa"/>
            </w:tcMar>
          </w:tcPr>
          <w:p>
            <w:r>
              <w:t>Active</w:t>
            </w:r>
          </w:p>
        </w:tc>
      </w:tr>
      <w:tr>
        <w:tc>
          <w:tcPr>
            <w:tcW w:type="dxa" w:w="3312"/>
            <w:shd w:fill="FFFFFF"/>
            <w:tcMar>
              <w:top w:w="80" w:type="dxa"/>
              <w:bottom w:w="80" w:type="dxa"/>
              <w:left w:w="120" w:type="dxa"/>
              <w:right w:w="120" w:type="dxa"/>
            </w:tcMar>
          </w:tcPr>
          <w:p>
            <w:r>
              <w:rPr>
                <w:b/>
              </w:rPr>
              <w:t>CI/CD Pipeline</w:t>
            </w:r>
          </w:p>
        </w:tc>
        <w:tc>
          <w:tcPr>
            <w:tcW w:type="dxa" w:w="3312"/>
            <w:shd w:fill="FFFFFF"/>
            <w:tcMar>
              <w:top w:w="80" w:type="dxa"/>
              <w:bottom w:w="80" w:type="dxa"/>
              <w:left w:w="120" w:type="dxa"/>
              <w:right w:w="120" w:type="dxa"/>
            </w:tcMar>
          </w:tcPr>
          <w:p>
            <w:r>
              <w:t>GitHub Actions (.github/workflows/ci.yml)</w:t>
            </w:r>
          </w:p>
        </w:tc>
        <w:tc>
          <w:tcPr>
            <w:tcW w:type="dxa" w:w="3312"/>
            <w:shd w:fill="FFFFFF"/>
            <w:tcMar>
              <w:top w:w="80" w:type="dxa"/>
              <w:bottom w:w="80" w:type="dxa"/>
              <w:left w:w="120" w:type="dxa"/>
              <w:right w:w="120" w:type="dxa"/>
            </w:tcMar>
          </w:tcPr>
          <w:p>
            <w:r>
              <w:t>Green / Passing</w:t>
            </w:r>
          </w:p>
        </w:tc>
      </w:tr>
      <w:tr>
        <w:tc>
          <w:tcPr>
            <w:tcW w:type="dxa" w:w="3312"/>
            <w:shd w:fill="F9FAFB"/>
            <w:tcMar>
              <w:top w:w="80" w:type="dxa"/>
              <w:bottom w:w="80" w:type="dxa"/>
              <w:left w:w="120" w:type="dxa"/>
              <w:right w:w="120" w:type="dxa"/>
            </w:tcMar>
          </w:tcPr>
          <w:p>
            <w:r>
              <w:rPr>
                <w:b/>
              </w:rPr>
              <w:t>Pre-commit Hooks</w:t>
            </w:r>
          </w:p>
        </w:tc>
        <w:tc>
          <w:tcPr>
            <w:tcW w:type="dxa" w:w="3312"/>
            <w:shd w:fill="F9FAFB"/>
            <w:tcMar>
              <w:top w:w="80" w:type="dxa"/>
              <w:bottom w:w="80" w:type="dxa"/>
              <w:left w:w="120" w:type="dxa"/>
              <w:right w:w="120" w:type="dxa"/>
            </w:tcMar>
          </w:tcPr>
          <w:p>
            <w:r>
              <w:t>Husky + lint-staged (Ruff, Black, ESLint, Prettier)</w:t>
            </w:r>
          </w:p>
        </w:tc>
        <w:tc>
          <w:tcPr>
            <w:tcW w:type="dxa" w:w="3312"/>
            <w:shd w:fill="F9FAFB"/>
            <w:tcMar>
              <w:top w:w="80" w:type="dxa"/>
              <w:bottom w:w="80" w:type="dxa"/>
              <w:left w:w="120" w:type="dxa"/>
              <w:right w:w="120" w:type="dxa"/>
            </w:tcMar>
          </w:tcPr>
          <w:p>
            <w:r>
              <w:t>Active</w:t>
            </w:r>
          </w:p>
        </w:tc>
      </w:tr>
    </w:tbl>
    <w:p>
      <w:pPr>
        <w:spacing w:after="200"/>
      </w:pPr>
    </w:p>
    <w:p>
      <w:pPr>
        <w:spacing w:before="320" w:after="120"/>
      </w:pPr>
      <w:r>
        <w:rPr>
          <w:rFonts w:ascii="Calibri" w:hAnsi="Calibri"/>
          <w:b/>
          <w:color w:val="0F2C59"/>
          <w:sz w:val="32"/>
        </w:rPr>
        <w:t>3. Core Business Requirements &amp; User Stories</w:t>
      </w:r>
    </w:p>
    <w:tbl>
      <w:tblPr>
        <w:tblW w:type="auto" w:w="0"/>
        <w:jc w:val="center"/>
        <w:tblLook w:firstColumn="1" w:firstRow="1" w:lastColumn="0" w:lastRow="0" w:noHBand="0" w:noVBand="1" w:val="04A0"/>
      </w:tblPr>
      <w:tblGrid>
        <w:gridCol w:w="3312"/>
        <w:gridCol w:w="3312"/>
        <w:gridCol w:w="3312"/>
      </w:tblGrid>
      <w:tr>
        <w:tc>
          <w:tcPr>
            <w:tcW w:type="dxa" w:w="3312"/>
            <w:shd w:fill="0F2C59"/>
            <w:tcMar>
              <w:top w:w="100" w:type="dxa"/>
              <w:bottom w:w="100" w:type="dxa"/>
              <w:left w:w="120" w:type="dxa"/>
              <w:right w:w="120" w:type="dxa"/>
            </w:tcMar>
          </w:tcPr>
          <w:p>
            <w:r>
              <w:rPr>
                <w:b/>
                <w:color w:val="FFFFFF"/>
              </w:rPr>
              <w:t>Requirement</w:t>
            </w:r>
          </w:p>
        </w:tc>
        <w:tc>
          <w:tcPr>
            <w:tcW w:type="dxa" w:w="3312"/>
            <w:shd w:fill="0F2C59"/>
            <w:tcMar>
              <w:top w:w="100" w:type="dxa"/>
              <w:bottom w:w="100" w:type="dxa"/>
              <w:left w:w="120" w:type="dxa"/>
              <w:right w:w="120" w:type="dxa"/>
            </w:tcMar>
          </w:tcPr>
          <w:p>
            <w:r>
              <w:rPr>
                <w:b/>
                <w:color w:val="FFFFFF"/>
              </w:rPr>
              <w:t>Implementation Summary</w:t>
            </w:r>
          </w:p>
        </w:tc>
        <w:tc>
          <w:tcPr>
            <w:tcW w:type="dxa" w:w="3312"/>
            <w:shd w:fill="0F2C59"/>
            <w:tcMar>
              <w:top w:w="100" w:type="dxa"/>
              <w:bottom w:w="100" w:type="dxa"/>
              <w:left w:w="120" w:type="dxa"/>
              <w:right w:w="120" w:type="dxa"/>
            </w:tcMar>
          </w:tcPr>
          <w:p>
            <w:r>
              <w:rPr>
                <w:b/>
                <w:color w:val="FFFFFF"/>
              </w:rPr>
              <w:t>Status</w:t>
            </w:r>
          </w:p>
        </w:tc>
      </w:tr>
      <w:tr>
        <w:tc>
          <w:tcPr>
            <w:tcW w:type="dxa" w:w="3312"/>
            <w:shd w:fill="FFFFFF"/>
            <w:tcMar>
              <w:top w:w="80" w:type="dxa"/>
              <w:bottom w:w="80" w:type="dxa"/>
              <w:left w:w="120" w:type="dxa"/>
              <w:right w:w="120" w:type="dxa"/>
            </w:tcMar>
          </w:tcPr>
          <w:p>
            <w:r>
              <w:rPr>
                <w:b/>
              </w:rPr>
              <w:t>User Authentication</w:t>
            </w:r>
          </w:p>
        </w:tc>
        <w:tc>
          <w:tcPr>
            <w:tcW w:type="dxa" w:w="3312"/>
            <w:shd w:fill="FFFFFF"/>
            <w:tcMar>
              <w:top w:w="80" w:type="dxa"/>
              <w:bottom w:w="80" w:type="dxa"/>
              <w:left w:w="120" w:type="dxa"/>
              <w:right w:w="120" w:type="dxa"/>
            </w:tcMar>
          </w:tcPr>
          <w:p>
            <w:r>
              <w:t>JWT registration &amp; login system using passlib[bcrypt] and python-jose. All project &amp; site data is strictly scoped per authenticated user (owner_id).</w:t>
            </w:r>
          </w:p>
        </w:tc>
        <w:tc>
          <w:tcPr>
            <w:tcW w:type="dxa" w:w="3312"/>
            <w:shd w:fill="FFFFFF"/>
            <w:tcMar>
              <w:top w:w="80" w:type="dxa"/>
              <w:bottom w:w="80" w:type="dxa"/>
              <w:left w:w="120" w:type="dxa"/>
              <w:right w:w="120" w:type="dxa"/>
            </w:tcMar>
          </w:tcPr>
          <w:p>
            <w:r>
              <w:t>Fully Implemented</w:t>
            </w:r>
          </w:p>
        </w:tc>
      </w:tr>
      <w:tr>
        <w:tc>
          <w:tcPr>
            <w:tcW w:type="dxa" w:w="3312"/>
            <w:shd w:fill="F9FAFB"/>
            <w:tcMar>
              <w:top w:w="80" w:type="dxa"/>
              <w:bottom w:w="80" w:type="dxa"/>
              <w:left w:w="120" w:type="dxa"/>
              <w:right w:w="120" w:type="dxa"/>
            </w:tcMar>
          </w:tcPr>
          <w:p>
            <w:r>
              <w:rPr>
                <w:b/>
              </w:rPr>
              <w:t>Project Management</w:t>
            </w:r>
          </w:p>
        </w:tc>
        <w:tc>
          <w:tcPr>
            <w:tcW w:type="dxa" w:w="3312"/>
            <w:shd w:fill="F9FAFB"/>
            <w:tcMar>
              <w:top w:w="80" w:type="dxa"/>
              <w:bottom w:w="80" w:type="dxa"/>
              <w:left w:w="120" w:type="dxa"/>
              <w:right w:w="120" w:type="dxa"/>
            </w:tcMar>
          </w:tcPr>
          <w:p>
            <w:r>
              <w:t>Full CRUD dashboard for creating, reading, updating (PATCH), and deleting carbon and biodiversity projects with rich metadata.</w:t>
            </w:r>
          </w:p>
        </w:tc>
        <w:tc>
          <w:tcPr>
            <w:tcW w:type="dxa" w:w="3312"/>
            <w:shd w:fill="F9FAFB"/>
            <w:tcMar>
              <w:top w:w="80" w:type="dxa"/>
              <w:bottom w:w="80" w:type="dxa"/>
              <w:left w:w="120" w:type="dxa"/>
              <w:right w:w="120" w:type="dxa"/>
            </w:tcMar>
          </w:tcPr>
          <w:p>
            <w:r>
              <w:t>Fully Implemented</w:t>
            </w:r>
          </w:p>
        </w:tc>
      </w:tr>
      <w:tr>
        <w:tc>
          <w:tcPr>
            <w:tcW w:type="dxa" w:w="3312"/>
            <w:shd w:fill="FFFFFF"/>
            <w:tcMar>
              <w:top w:w="80" w:type="dxa"/>
              <w:bottom w:w="80" w:type="dxa"/>
              <w:left w:w="120" w:type="dxa"/>
              <w:right w:w="120" w:type="dxa"/>
            </w:tcMar>
          </w:tcPr>
          <w:p>
            <w:r>
              <w:rPr>
                <w:b/>
              </w:rPr>
              <w:t>Geospatial Data Capture</w:t>
            </w:r>
          </w:p>
        </w:tc>
        <w:tc>
          <w:tcPr>
            <w:tcW w:type="dxa" w:w="3312"/>
            <w:shd w:fill="FFFFFF"/>
            <w:tcMar>
              <w:top w:w="80" w:type="dxa"/>
              <w:bottom w:w="80" w:type="dxa"/>
              <w:left w:w="120" w:type="dxa"/>
              <w:right w:w="120" w:type="dxa"/>
            </w:tcMar>
          </w:tcPr>
          <w:p>
            <w:r>
              <w:t>Mapbox GL JS integrated with @mapbox/mapbox-gl-draw. Administrators draw multi-vertex polygon boundaries directly on satellite maps. Spatial area in hectares is automatically computed server-side via PostGIS.</w:t>
            </w:r>
          </w:p>
        </w:tc>
        <w:tc>
          <w:tcPr>
            <w:tcW w:type="dxa" w:w="3312"/>
            <w:shd w:fill="FFFFFF"/>
            <w:tcMar>
              <w:top w:w="80" w:type="dxa"/>
              <w:bottom w:w="80" w:type="dxa"/>
              <w:left w:w="120" w:type="dxa"/>
              <w:right w:w="120" w:type="dxa"/>
            </w:tcMar>
          </w:tcPr>
          <w:p>
            <w:r>
              <w:t>Fully Implemented</w:t>
            </w:r>
          </w:p>
        </w:tc>
      </w:tr>
      <w:tr>
        <w:tc>
          <w:tcPr>
            <w:tcW w:type="dxa" w:w="3312"/>
            <w:shd w:fill="F9FAFB"/>
            <w:tcMar>
              <w:top w:w="80" w:type="dxa"/>
              <w:bottom w:w="80" w:type="dxa"/>
              <w:left w:w="120" w:type="dxa"/>
              <w:right w:w="120" w:type="dxa"/>
            </w:tcMar>
          </w:tcPr>
          <w:p>
            <w:r>
              <w:rPr>
                <w:b/>
              </w:rPr>
              <w:t>Data Analytics &amp; Visualization</w:t>
            </w:r>
          </w:p>
        </w:tc>
        <w:tc>
          <w:tcPr>
            <w:tcW w:type="dxa" w:w="3312"/>
            <w:shd w:fill="F9FAFB"/>
            <w:tcMar>
              <w:top w:w="80" w:type="dxa"/>
              <w:bottom w:w="80" w:type="dxa"/>
              <w:left w:w="120" w:type="dxa"/>
              <w:right w:w="120" w:type="dxa"/>
            </w:tcMar>
          </w:tcPr>
          <w:p>
            <w:r>
              <w:t>Interactive Chart.js time-series analytics rendering 12-month metrics (NDVI, tCO2e Carbon Stock, Biodiversity Index %, Canopy Cover %).</w:t>
            </w:r>
          </w:p>
        </w:tc>
        <w:tc>
          <w:tcPr>
            <w:tcW w:type="dxa" w:w="3312"/>
            <w:shd w:fill="F9FAFB"/>
            <w:tcMar>
              <w:top w:w="80" w:type="dxa"/>
              <w:bottom w:w="80" w:type="dxa"/>
              <w:left w:w="120" w:type="dxa"/>
              <w:right w:w="120" w:type="dxa"/>
            </w:tcMar>
          </w:tcPr>
          <w:p>
            <w:r>
              <w:t>Fully Implemented</w:t>
            </w:r>
          </w:p>
        </w:tc>
      </w:tr>
      <w:tr>
        <w:tc>
          <w:tcPr>
            <w:tcW w:type="dxa" w:w="3312"/>
            <w:shd w:fill="FFFFFF"/>
            <w:tcMar>
              <w:top w:w="80" w:type="dxa"/>
              <w:bottom w:w="80" w:type="dxa"/>
              <w:left w:w="120" w:type="dxa"/>
              <w:right w:w="120" w:type="dxa"/>
            </w:tcMar>
          </w:tcPr>
          <w:p>
            <w:r>
              <w:rPr>
                <w:b/>
              </w:rPr>
              <w:t>Automated Code Quality</w:t>
            </w:r>
          </w:p>
        </w:tc>
        <w:tc>
          <w:tcPr>
            <w:tcW w:type="dxa" w:w="3312"/>
            <w:shd w:fill="FFFFFF"/>
            <w:tcMar>
              <w:top w:w="80" w:type="dxa"/>
              <w:bottom w:w="80" w:type="dxa"/>
              <w:left w:w="120" w:type="dxa"/>
              <w:right w:w="120" w:type="dxa"/>
            </w:tcMar>
          </w:tcPr>
          <w:p>
            <w:r>
              <w:t>Multi-stage pre-commit hooks (Husky, lint-staged) enforcing Ruff, Black, ESLint, Prettier, TypeScript strict checks, and Alembic migrations.</w:t>
            </w:r>
          </w:p>
        </w:tc>
        <w:tc>
          <w:tcPr>
            <w:tcW w:type="dxa" w:w="3312"/>
            <w:shd w:fill="FFFFFF"/>
            <w:tcMar>
              <w:top w:w="80" w:type="dxa"/>
              <w:bottom w:w="80" w:type="dxa"/>
              <w:left w:w="120" w:type="dxa"/>
              <w:right w:w="120" w:type="dxa"/>
            </w:tcMar>
          </w:tcPr>
          <w:p>
            <w:r>
              <w:t>Fully Implemented</w:t>
            </w:r>
          </w:p>
        </w:tc>
      </w:tr>
    </w:tbl>
    <w:p>
      <w:pPr>
        <w:spacing w:after="200"/>
      </w:pPr>
    </w:p>
    <w:p>
      <w:pPr>
        <w:spacing w:before="320" w:after="120"/>
      </w:pPr>
      <w:r>
        <w:rPr>
          <w:rFonts w:ascii="Calibri" w:hAnsi="Calibri"/>
          <w:b/>
          <w:color w:val="0F2C59"/>
          <w:sz w:val="32"/>
        </w:rPr>
        <w:t>4. High-Level System Architecture</w:t>
      </w:r>
    </w:p>
    <w:p>
      <w:r>
        <w:t>The system is structured as a 3-tier modular architecture designed for performance, security, and independent deployment:</w:t>
      </w:r>
    </w:p>
    <w:p>
      <w:pPr>
        <w:pStyle w:val="ListBullet"/>
        <w:spacing w:after="80"/>
      </w:pPr>
      <w:r>
        <w:rPr>
          <w:b/>
          <w:color w:val="0F2C59"/>
        </w:rPr>
        <w:t xml:space="preserve">Frontend Layer (React SPA): </w:t>
      </w:r>
      <w:r>
        <w:t>Built with React 18, Vite, and TypeScript. Implements dynamic code-splitting, Mapbox GL JS map controls, mapbox-gl-draw polygon creation, popups, basemap switcher, color legend, and Chart.js metrics.</w:t>
      </w:r>
    </w:p>
    <w:p>
      <w:pPr>
        <w:pStyle w:val="ListBullet"/>
        <w:spacing w:after="80"/>
      </w:pPr>
      <w:r>
        <w:rPr>
          <w:b/>
          <w:color w:val="0F2C59"/>
        </w:rPr>
        <w:t xml:space="preserve">Backend Layer (FastAPI API): </w:t>
      </w:r>
      <w:r>
        <w:t>Async-capable FastAPI service running Python 3.11. Implements strict Pydantic v2 schemas, SQLAlchemy 2.0 ORM, GeoAlchemy2 spatial integration, JWT authentication, and Alembic database migrations.</w:t>
      </w:r>
    </w:p>
    <w:p>
      <w:pPr>
        <w:pStyle w:val="ListBullet"/>
        <w:spacing w:after="80"/>
      </w:pPr>
      <w:r>
        <w:rPr>
          <w:b/>
          <w:color w:val="0F2C59"/>
        </w:rPr>
        <w:t xml:space="preserve">Database Layer (PostgreSQL + PostGIS): </w:t>
      </w:r>
      <w:r>
        <w:t>Managed PostgreSQL 16 database with PostGIS 3.4 extension on Aiven. Stores spatial geometries as native Geometry(POLYGON, 4326) with spatial indexing capability.</w:t>
      </w:r>
    </w:p>
    <w:p>
      <w:pPr>
        <w:spacing w:before="320" w:after="120"/>
      </w:pPr>
      <w:r>
        <w:rPr>
          <w:rFonts w:ascii="Calibri" w:hAnsi="Calibri"/>
          <w:b/>
          <w:color w:val="0F2C59"/>
          <w:sz w:val="32"/>
        </w:rPr>
        <w:t>5. Database Schema &amp; Entity Relationships</w:t>
      </w:r>
    </w:p>
    <w:p>
      <w:r>
        <w:t>The database schema consists of 4 normalized tables designed for high throughput and spatial capabilities:</w:t>
      </w:r>
    </w:p>
    <w:p>
      <w:pPr>
        <w:pStyle w:val="ListBullet"/>
        <w:spacing w:after="80"/>
      </w:pPr>
      <w:r>
        <w:rPr>
          <w:b/>
        </w:rPr>
        <w:t xml:space="preserve">USERS: </w:t>
      </w:r>
      <w:r>
        <w:t>Stores authenticated administrator accounts (id, email, full_name, hashed_password, created_at).</w:t>
      </w:r>
    </w:p>
    <w:p>
      <w:pPr>
        <w:pStyle w:val="ListBullet"/>
        <w:spacing w:after="80"/>
      </w:pPr>
      <w:r>
        <w:rPr>
          <w:b/>
        </w:rPr>
        <w:t xml:space="preserve">PROJECTS: </w:t>
      </w:r>
      <w:r>
        <w:t>Stores carbon/biodiversity project details (id, name, description, project_type, owner_id FK -&gt; USERS, timestamps). Strictly scoped per owner.</w:t>
      </w:r>
    </w:p>
    <w:p>
      <w:pPr>
        <w:pStyle w:val="ListBullet"/>
        <w:spacing w:after="80"/>
      </w:pPr>
      <w:r>
        <w:rPr>
          <w:b/>
        </w:rPr>
        <w:t xml:space="preserve">SITES: </w:t>
      </w:r>
      <w:r>
        <w:t>Stores geographic site boundaries (id, project_id FK -&gt; PROJECTS, name, description, geom POLYGON(4326), area_hectares).</w:t>
      </w:r>
    </w:p>
    <w:p>
      <w:pPr>
        <w:pStyle w:val="ListBullet"/>
        <w:spacing w:after="80"/>
      </w:pPr>
      <w:r>
        <w:rPr>
          <w:b/>
        </w:rPr>
        <w:t xml:space="preserve">SITE_METRICS: </w:t>
      </w:r>
      <w:r>
        <w:t>Long/narrow time-series table storing monthly metrics (id, site_id FK -&gt; SITES, metric_type enum, recorded_on date, value float).</w:t>
      </w:r>
    </w:p>
    <w:p>
      <w:pPr>
        <w:spacing w:before="320" w:after="120"/>
      </w:pPr>
      <w:r>
        <w:rPr>
          <w:rFonts w:ascii="Calibri" w:hAnsi="Calibri"/>
          <w:b/>
          <w:color w:val="0F2C59"/>
          <w:sz w:val="32"/>
        </w:rPr>
        <w:t>6. Code Quality, Pre-Commit Hooks &amp; CI/CD</w:t>
      </w:r>
    </w:p>
    <w:p>
      <w:r>
        <w:t>The repository maintains strict engineering standards across backend and frontend codebases:</w:t>
      </w:r>
    </w:p>
    <w:p>
      <w:pPr>
        <w:spacing w:before="240" w:after="80"/>
      </w:pPr>
      <w:r>
        <w:rPr>
          <w:rFonts w:ascii="Calibri" w:hAnsi="Calibri"/>
          <w:b/>
          <w:color w:val="1F4E78"/>
          <w:sz w:val="26"/>
        </w:rPr>
        <w:t>Pre-Commit Hooks (Husky + lint-staged)</w:t>
      </w:r>
    </w:p>
    <w:p>
      <w:r>
        <w:t>Configured via .husky/pre-commit to automatically lint and format code before every git commit:</w:t>
        <w:br/>
        <w:t>• Backend (*.py): Formatted with Black and linted with Ruff check --fix.</w:t>
        <w:br/>
        <w:t>• Frontend (*.ts, *.tsx): Formatted with Prettier and linted with ESLint --max-warnings=0.</w:t>
      </w:r>
    </w:p>
    <w:p>
      <w:pPr>
        <w:spacing w:before="240" w:after="80"/>
      </w:pPr>
      <w:r>
        <w:rPr>
          <w:rFonts w:ascii="Calibri" w:hAnsi="Calibri"/>
          <w:b/>
          <w:color w:val="1F4E78"/>
          <w:sz w:val="26"/>
        </w:rPr>
        <w:t>CI/CD Pipeline (GitHub Actions)</w:t>
      </w:r>
    </w:p>
    <w:p>
      <w:r>
        <w:t>Automated workflow (.github/workflows/ci.yml) running on every push/PR:</w:t>
        <w:br/>
        <w:t>• Backend Job: Boots live postgis/postgis:16-3.4 container, validates alembic upgrade head, checks Black/Ruff, and executes Pytest suite.</w:t>
        <w:br/>
        <w:t>• Frontend Job: Executes npm ci, ESLint, Prettier format check, TypeScript strict typecheck (tsc --noEmit), and Vite production build.</w:t>
      </w:r>
    </w:p>
    <w:p>
      <w:pPr>
        <w:spacing w:before="320" w:after="120"/>
      </w:pPr>
      <w:r>
        <w:rPr>
          <w:rFonts w:ascii="Calibri" w:hAnsi="Calibri"/>
          <w:b/>
          <w:color w:val="0F2C59"/>
          <w:sz w:val="32"/>
        </w:rPr>
        <w:t>7. Architectural Trade-offs &amp; Design Decisions</w:t>
      </w:r>
    </w:p>
    <w:p>
      <w:pPr>
        <w:pStyle w:val="ListBullet"/>
        <w:spacing w:after="80"/>
      </w:pPr>
      <w:r>
        <w:rPr>
          <w:b/>
        </w:rPr>
        <w:t xml:space="preserve">PostGIS Geometry Column vs Raw GeoJSON Strings: </w:t>
      </w:r>
      <w:r>
        <w:t>Native Geometry(POLYGON, 4326) was chosen over plain text to enable server-side hectare calculation and spatial index capabilities.</w:t>
      </w:r>
    </w:p>
    <w:p>
      <w:pPr>
        <w:pStyle w:val="ListBullet"/>
        <w:spacing w:after="80"/>
      </w:pPr>
      <w:r>
        <w:rPr>
          <w:b/>
        </w:rPr>
        <w:t xml:space="preserve">Long/Narrow site_metrics Schema vs Wide Columns: </w:t>
      </w:r>
      <w:r>
        <w:t>Storing metric readings as separate rows allows adding new metric types in the future without requiring database schema migrations.</w:t>
      </w:r>
    </w:p>
    <w:p>
      <w:pPr>
        <w:pStyle w:val="ListBullet"/>
        <w:spacing w:after="80"/>
      </w:pPr>
      <w:r>
        <w:rPr>
          <w:b/>
        </w:rPr>
        <w:t xml:space="preserve">Chart.js vs Highcharts: </w:t>
      </w:r>
      <w:r>
        <w:t>Chart.js was selected due to its lightweight bundle footprint, standard open-source license, and seamless React 18 integration.</w:t>
      </w:r>
    </w:p>
    <w:p>
      <w:pPr>
        <w:pStyle w:val="ListBullet"/>
        <w:spacing w:after="80"/>
      </w:pPr>
      <w:r>
        <w:rPr>
          <w:b/>
        </w:rPr>
        <w:t xml:space="preserve">Deterministic Synthetic Environmental Metrics: </w:t>
      </w:r>
      <w:r>
        <w:t>Seeded 12-month metrics based on site spatial coordinates to guarantee realistic, reproducible data across reloads without requiring external satellite API credentials during evaluation.</w:t>
      </w:r>
    </w:p>
    <w:p>
      <w:pPr>
        <w:spacing w:before="320" w:after="120"/>
      </w:pPr>
      <w:r>
        <w:rPr>
          <w:rFonts w:ascii="Calibri" w:hAnsi="Calibri"/>
          <w:b/>
          <w:color w:val="0F2C59"/>
          <w:sz w:val="32"/>
        </w:rPr>
        <w:t>8. Local Quickstart Instructions</w:t>
      </w:r>
    </w:p>
    <w:p>
      <w:r>
        <w:t>To run the application locally via Docker Compose:</w:t>
      </w:r>
    </w:p>
    <w:p/>
    <w:tbl>
      <w:tblPr>
        <w:tblW w:type="auto" w:w="0"/>
        <w:tblLook w:firstColumn="1" w:firstRow="1" w:lastColumn="0" w:lastRow="0" w:noHBand="0" w:noVBand="1" w:val="04A0"/>
      </w:tblPr>
      <w:tblGrid>
        <w:gridCol w:w="9936"/>
      </w:tblGrid>
      <w:tr>
        <w:tc>
          <w:tcPr>
            <w:tcW w:type="dxa" w:w="9936"/>
            <w:shd w:fill="F4F6F8"/>
          </w:tcP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