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60F1" w14:textId="6678DA96" w:rsidR="0098267F" w:rsidRDefault="00D52F09">
      <w:r>
        <w:rPr>
          <w:noProof/>
        </w:rPr>
        <w:drawing>
          <wp:inline distT="0" distB="0" distL="0" distR="0" wp14:anchorId="6591C5AF" wp14:editId="23F0C316">
            <wp:extent cx="6086475" cy="29718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66A427" w14:textId="0DB44915" w:rsidR="00D52F09" w:rsidRDefault="00D52F09"/>
    <w:p w14:paraId="58646718" w14:textId="1ED3F3F7" w:rsidR="00D52F09" w:rsidRDefault="00D52F09"/>
    <w:p w14:paraId="444301F4" w14:textId="59AEC275" w:rsidR="00D52F09" w:rsidRDefault="00D52F09"/>
    <w:p w14:paraId="2066F406" w14:textId="7C1B3233" w:rsidR="00D52F09" w:rsidRDefault="00D52F09">
      <w:r>
        <w:rPr>
          <w:noProof/>
        </w:rPr>
        <w:drawing>
          <wp:inline distT="0" distB="0" distL="0" distR="0" wp14:anchorId="6DE09935" wp14:editId="1FC60938">
            <wp:extent cx="6086475" cy="31432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61CB6F" w14:textId="54C6335F" w:rsidR="00D52F09" w:rsidRDefault="00D52F09"/>
    <w:p w14:paraId="52AD9961" w14:textId="68E1FE38" w:rsidR="00D52F09" w:rsidRDefault="00D52F09"/>
    <w:p w14:paraId="40E29E55" w14:textId="50E1039C" w:rsidR="00D52F09" w:rsidRDefault="00D52F09"/>
    <w:p w14:paraId="6354649E" w14:textId="0B5C7E9E" w:rsidR="00D52F09" w:rsidRDefault="00D52F09"/>
    <w:p w14:paraId="76721BA2" w14:textId="129B0473" w:rsidR="00D52F09" w:rsidRDefault="00D52F09"/>
    <w:p w14:paraId="60066726" w14:textId="70AFFF8F" w:rsidR="00D52F09" w:rsidRDefault="00D52F09"/>
    <w:p w14:paraId="10C91CD3" w14:textId="1A0DBEE4" w:rsidR="00D52F09" w:rsidRDefault="00D52F09">
      <w:r>
        <w:rPr>
          <w:noProof/>
        </w:rPr>
        <w:lastRenderedPageBreak/>
        <w:drawing>
          <wp:inline distT="0" distB="0" distL="0" distR="0" wp14:anchorId="6805D5BF" wp14:editId="281DCB52">
            <wp:extent cx="596265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60E9DA" w14:textId="4CF80C70" w:rsidR="00D52F09" w:rsidRDefault="00D52F09"/>
    <w:p w14:paraId="63020006" w14:textId="5EC7D020" w:rsidR="00D52F09" w:rsidRDefault="00D52F09"/>
    <w:p w14:paraId="328855AF" w14:textId="334BF04B" w:rsidR="00D52F09" w:rsidRDefault="00D52F09"/>
    <w:p w14:paraId="034E3F4C" w14:textId="1326D4CF" w:rsidR="00D52F09" w:rsidRDefault="00D52F09">
      <w:r>
        <w:rPr>
          <w:noProof/>
        </w:rPr>
        <w:drawing>
          <wp:inline distT="0" distB="0" distL="0" distR="0" wp14:anchorId="78D36068" wp14:editId="34B4B23E">
            <wp:extent cx="5962650" cy="33051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BECC56" w14:textId="59B1CF7D" w:rsidR="00D52F09" w:rsidRDefault="00D52F09"/>
    <w:p w14:paraId="1571DCDB" w14:textId="4C328D5B" w:rsidR="00D52F09" w:rsidRDefault="00D52F09"/>
    <w:p w14:paraId="4A65C70E" w14:textId="3D924C9D" w:rsidR="00D52F09" w:rsidRDefault="00D52F09"/>
    <w:p w14:paraId="3091E56C" w14:textId="681B3786" w:rsidR="00D52F09" w:rsidRDefault="00D52F09"/>
    <w:p w14:paraId="772E00F8" w14:textId="3AE81C83" w:rsidR="00D52F09" w:rsidRDefault="00D52F09"/>
    <w:p w14:paraId="759A8F26" w14:textId="4572A289" w:rsidR="00D52F09" w:rsidRDefault="00D52F09"/>
    <w:p w14:paraId="4AB081BB" w14:textId="7C321521" w:rsidR="00D52F09" w:rsidRDefault="00DA760D">
      <w:r>
        <w:rPr>
          <w:noProof/>
        </w:rPr>
        <w:lastRenderedPageBreak/>
        <w:drawing>
          <wp:inline distT="0" distB="0" distL="0" distR="0" wp14:anchorId="366277C4" wp14:editId="5AEAC91C">
            <wp:extent cx="6210300" cy="36671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618AA7" w14:textId="4110DF4A" w:rsidR="00DA760D" w:rsidRDefault="00DA760D"/>
    <w:p w14:paraId="3F5303AF" w14:textId="39B7C509" w:rsidR="00DA760D" w:rsidRDefault="00DA760D"/>
    <w:p w14:paraId="5A0EB3C6" w14:textId="0113940A" w:rsidR="00DA760D" w:rsidRDefault="00DA760D"/>
    <w:p w14:paraId="672306B1" w14:textId="45C4A3F2" w:rsidR="00DA760D" w:rsidRDefault="00DA760D"/>
    <w:p w14:paraId="23D25295" w14:textId="77777777" w:rsidR="00DA760D" w:rsidRDefault="00DA760D"/>
    <w:p w14:paraId="008298D8" w14:textId="366FFCF7" w:rsidR="00DA760D" w:rsidRDefault="00DA760D">
      <w:r>
        <w:rPr>
          <w:noProof/>
        </w:rPr>
        <w:drawing>
          <wp:inline distT="0" distB="0" distL="0" distR="0" wp14:anchorId="46B19D5D" wp14:editId="648AA886">
            <wp:extent cx="6210300" cy="32861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4852DF" w14:textId="4E9FDEE5" w:rsidR="00DA760D" w:rsidRDefault="00DA760D"/>
    <w:p w14:paraId="2385204D" w14:textId="5F770F05" w:rsidR="00DA760D" w:rsidRDefault="00DA760D">
      <w:r>
        <w:rPr>
          <w:noProof/>
        </w:rPr>
        <w:lastRenderedPageBreak/>
        <w:drawing>
          <wp:inline distT="0" distB="0" distL="0" distR="0" wp14:anchorId="4ECF6F04" wp14:editId="7EFD88D3">
            <wp:extent cx="6238875" cy="34575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882322" w14:textId="02B8B3E9" w:rsidR="00DA760D" w:rsidRDefault="00DA760D"/>
    <w:p w14:paraId="02DA9C22" w14:textId="17A47775" w:rsidR="00DA760D" w:rsidRDefault="00DA760D"/>
    <w:p w14:paraId="1B878956" w14:textId="39AC5F2F" w:rsidR="00DA760D" w:rsidRDefault="00DA760D"/>
    <w:p w14:paraId="24CC6584" w14:textId="505F51D1" w:rsidR="00DA760D" w:rsidRDefault="00DA760D"/>
    <w:p w14:paraId="73D2A919" w14:textId="145B7C77" w:rsidR="00DA760D" w:rsidRDefault="00DA760D">
      <w:r>
        <w:rPr>
          <w:noProof/>
        </w:rPr>
        <w:drawing>
          <wp:inline distT="0" distB="0" distL="0" distR="0" wp14:anchorId="60352F82" wp14:editId="006A9825">
            <wp:extent cx="6029325" cy="35909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C29D7A" w14:textId="092011CD" w:rsidR="00DA760D" w:rsidRDefault="00DA760D"/>
    <w:p w14:paraId="2E579158" w14:textId="706FB113" w:rsidR="00DA760D" w:rsidRDefault="00DA760D"/>
    <w:p w14:paraId="07E90EC5" w14:textId="0BE2D8D0" w:rsidR="00DA760D" w:rsidRDefault="00DA760D">
      <w:r>
        <w:rPr>
          <w:noProof/>
        </w:rPr>
        <w:drawing>
          <wp:inline distT="0" distB="0" distL="0" distR="0" wp14:anchorId="11303C4E" wp14:editId="4C23939D">
            <wp:extent cx="6334125" cy="338137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4F9F269-2CD4-FD64-BAD3-0E7CDAD4E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A450D2" w14:textId="72BD5709" w:rsidR="00DA760D" w:rsidRDefault="00DA760D"/>
    <w:p w14:paraId="0896C4E8" w14:textId="77777777" w:rsidR="00DA760D" w:rsidRDefault="00DA760D" w:rsidP="00DA760D">
      <w:pPr>
        <w:rPr>
          <w:b/>
          <w:bCs/>
        </w:rPr>
      </w:pPr>
    </w:p>
    <w:p w14:paraId="4119B071" w14:textId="3366C4C0" w:rsidR="00DA760D" w:rsidRPr="00B67AEC" w:rsidRDefault="00DA760D" w:rsidP="00DA760D">
      <w:pPr>
        <w:rPr>
          <w:b/>
          <w:bCs/>
        </w:rPr>
      </w:pPr>
      <w:r>
        <w:rPr>
          <w:b/>
          <w:bCs/>
        </w:rPr>
        <w:t>MARKETING STUDIO TECHHUB SCORES ARE  0 (FROM 2028 TO 2021)</w:t>
      </w:r>
    </w:p>
    <w:p w14:paraId="1192B05A" w14:textId="77777777" w:rsidR="00DA760D" w:rsidRDefault="00DA760D" w:rsidP="00DA760D">
      <w:pPr>
        <w:rPr>
          <w:b/>
          <w:bCs/>
        </w:rPr>
      </w:pPr>
      <w:r>
        <w:rPr>
          <w:b/>
          <w:bCs/>
        </w:rPr>
        <w:t>ENG OPPS STUDIO TECHHUB SCORES ARE  0 (FROM 2016 TO 2022)</w:t>
      </w:r>
    </w:p>
    <w:p w14:paraId="4384233E" w14:textId="77777777" w:rsidR="00DA760D" w:rsidRDefault="00DA760D" w:rsidP="00DA760D">
      <w:pPr>
        <w:rPr>
          <w:b/>
          <w:bCs/>
        </w:rPr>
      </w:pPr>
      <w:r>
        <w:rPr>
          <w:b/>
          <w:bCs/>
        </w:rPr>
        <w:t>ACCOUNT MANAGEMENT TECHHUB SCORES ARE  0 (FROM 2020 TO 2022)</w:t>
      </w:r>
    </w:p>
    <w:p w14:paraId="3F48E45B" w14:textId="77777777" w:rsidR="00DA760D" w:rsidRDefault="00DA760D" w:rsidP="00DA760D">
      <w:pPr>
        <w:rPr>
          <w:b/>
          <w:bCs/>
        </w:rPr>
      </w:pPr>
      <w:r>
        <w:rPr>
          <w:b/>
          <w:bCs/>
        </w:rPr>
        <w:t>LEARNING DEV STUDIO TECHHUB SCORES ARE  0 (FOR 2021)</w:t>
      </w:r>
    </w:p>
    <w:p w14:paraId="6A6D40F0" w14:textId="77777777" w:rsidR="00DA760D" w:rsidRDefault="00DA760D" w:rsidP="00DA760D">
      <w:pPr>
        <w:rPr>
          <w:b/>
          <w:bCs/>
        </w:rPr>
      </w:pPr>
      <w:r>
        <w:rPr>
          <w:b/>
          <w:bCs/>
        </w:rPr>
        <w:t>AGILE STUDIO TECHHUB SCORES ARE  0 (FROM 2021 TO 2022)</w:t>
      </w:r>
    </w:p>
    <w:p w14:paraId="7C6114C5" w14:textId="77777777" w:rsidR="00DA760D" w:rsidRDefault="00DA760D" w:rsidP="00DA760D">
      <w:pPr>
        <w:rPr>
          <w:b/>
          <w:bCs/>
        </w:rPr>
      </w:pPr>
      <w:r>
        <w:rPr>
          <w:b/>
          <w:bCs/>
        </w:rPr>
        <w:t>INTERN STUDIO TECHHUB SCORES ARE  0 (FOR2022)</w:t>
      </w:r>
    </w:p>
    <w:p w14:paraId="64C0F0CC" w14:textId="77777777" w:rsidR="00DA760D" w:rsidRDefault="00DA760D"/>
    <w:sectPr w:rsidR="00DA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F"/>
    <w:rsid w:val="0098267F"/>
    <w:rsid w:val="00D52F09"/>
    <w:rsid w:val="00D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4208"/>
  <w15:chartTrackingRefBased/>
  <w15:docId w15:val="{EB4D3AF3-07CF-4349-8E66-64EE886F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techhub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techhub_score!$B$2:$C$10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techhub_score!$D$2:$D$10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2.5</c:v>
                </c:pt>
                <c:pt idx="6">
                  <c:v>18</c:v>
                </c:pt>
                <c:pt idx="7">
                  <c:v>18</c:v>
                </c:pt>
                <c:pt idx="8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8F-40D7-B57C-F383E8A16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techhub_score!$B$17:$C$29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techhub_score!$D$17:$D$29</c:f>
              <c:numCache>
                <c:formatCode>General</c:formatCode>
                <c:ptCount val="13"/>
                <c:pt idx="0">
                  <c:v>0</c:v>
                </c:pt>
                <c:pt idx="1">
                  <c:v>7.5</c:v>
                </c:pt>
                <c:pt idx="2">
                  <c:v>7.5</c:v>
                </c:pt>
                <c:pt idx="3">
                  <c:v>7.5</c:v>
                </c:pt>
                <c:pt idx="4">
                  <c:v>6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5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45-4B98-BC90-E540C373D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techhub_score!$D$39:$D$49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7.5</c:v>
                </c:pt>
                <c:pt idx="6">
                  <c:v>7.5</c:v>
                </c:pt>
                <c:pt idx="7">
                  <c:v>0</c:v>
                </c:pt>
                <c:pt idx="8">
                  <c:v>48</c:v>
                </c:pt>
                <c:pt idx="9">
                  <c:v>48</c:v>
                </c:pt>
                <c:pt idx="10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9C-4B9B-B2F2-319EA9085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techhub_score!$B$51:$C$76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techhub_score!$D$51:$D$76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15</c:v>
                </c:pt>
                <c:pt idx="14">
                  <c:v>0</c:v>
                </c:pt>
                <c:pt idx="15">
                  <c:v>30</c:v>
                </c:pt>
                <c:pt idx="16">
                  <c:v>30</c:v>
                </c:pt>
                <c:pt idx="17">
                  <c:v>22.5</c:v>
                </c:pt>
                <c:pt idx="18">
                  <c:v>21</c:v>
                </c:pt>
                <c:pt idx="19">
                  <c:v>15</c:v>
                </c:pt>
                <c:pt idx="20">
                  <c:v>15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89-4BE4-BB4B-DD47E0462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techhub_score!$B$80:$C$109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techhub_score!$D$80:$D$109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90</c:v>
                </c:pt>
                <c:pt idx="21">
                  <c:v>90</c:v>
                </c:pt>
                <c:pt idx="22">
                  <c:v>0</c:v>
                </c:pt>
                <c:pt idx="23">
                  <c:v>15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5</c:v>
                </c:pt>
                <c:pt idx="28">
                  <c:v>7.5</c:v>
                </c:pt>
                <c:pt idx="29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7-4A54-B48B-9D2F4640F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techhub_score!$B$110:$C$153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techhub_score!$D$110:$D$153</c:f>
              <c:numCache>
                <c:formatCode>General</c:formatCode>
                <c:ptCount val="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7.5</c:v>
                </c:pt>
                <c:pt idx="36">
                  <c:v>300</c:v>
                </c:pt>
                <c:pt idx="37">
                  <c:v>300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3-44C7-A6F6-5C0882E55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techhub_score!$B$169:$C$181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techhub_score!$D$169:$D$181</c:f>
              <c:numCache>
                <c:formatCode>General</c:formatCode>
                <c:ptCount val="13"/>
                <c:pt idx="0">
                  <c:v>0</c:v>
                </c:pt>
                <c:pt idx="1">
                  <c:v>30</c:v>
                </c:pt>
                <c:pt idx="2">
                  <c:v>180</c:v>
                </c:pt>
                <c:pt idx="3">
                  <c:v>180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20</c:v>
                </c:pt>
                <c:pt idx="11">
                  <c:v>20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A5-4DAE-A48A-AE11DEBDD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techhub_score!$D$182:$D$213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15</c:v>
                </c:pt>
                <c:pt idx="21">
                  <c:v>45</c:v>
                </c:pt>
                <c:pt idx="22">
                  <c:v>45</c:v>
                </c:pt>
                <c:pt idx="23">
                  <c:v>5.625</c:v>
                </c:pt>
                <c:pt idx="24">
                  <c:v>27</c:v>
                </c:pt>
                <c:pt idx="25">
                  <c:v>30</c:v>
                </c:pt>
                <c:pt idx="26">
                  <c:v>30</c:v>
                </c:pt>
                <c:pt idx="27">
                  <c:v>12</c:v>
                </c:pt>
                <c:pt idx="28">
                  <c:v>18</c:v>
                </c:pt>
                <c:pt idx="29">
                  <c:v>48</c:v>
                </c:pt>
                <c:pt idx="30">
                  <c:v>48</c:v>
                </c:pt>
                <c:pt idx="3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53-4849-BF27-B529056FA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testing_STUDIO-techhub_score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techhub_score!$D$1</c:f>
              <c:strCache>
                <c:ptCount val="1"/>
                <c:pt idx="0">
                  <c:v>techhub_score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techhub_score!$B$214:$C$231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techhub_score!$D$214:$D$231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7.5</c:v>
                </c:pt>
                <c:pt idx="12">
                  <c:v>7.5</c:v>
                </c:pt>
                <c:pt idx="13">
                  <c:v>12</c:v>
                </c:pt>
                <c:pt idx="14">
                  <c:v>60</c:v>
                </c:pt>
                <c:pt idx="15">
                  <c:v>10</c:v>
                </c:pt>
                <c:pt idx="16">
                  <c:v>10</c:v>
                </c:pt>
                <c:pt idx="1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4C-442A-85BD-CB1017A9A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52128"/>
        <c:axId val="1560844640"/>
      </c:lineChart>
      <c:catAx>
        <c:axId val="156085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44640"/>
        <c:crosses val="autoZero"/>
        <c:auto val="1"/>
        <c:lblAlgn val="ctr"/>
        <c:lblOffset val="100"/>
        <c:noMultiLvlLbl val="0"/>
      </c:catAx>
      <c:valAx>
        <c:axId val="15608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techhub_mean_score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8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2022-05-12T03:10:00Z</dcterms:created>
  <dcterms:modified xsi:type="dcterms:W3CDTF">2022-05-12T03:19:00Z</dcterms:modified>
</cp:coreProperties>
</file>