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rPr>
          <w:rFonts w:ascii="Arial" w:cs="Arial" w:eastAsia="Arial" w:hAnsi="Arial"/>
        </w:rPr>
        <w:t xml:space="preserve"/>
      </w:r>
    </w:p>
    <w:p>
      <w:pPr>
        <w:spacing w:before="0" w:after="80"/>
        <w:jc w:val="center"/>
      </w:pPr>
      <w:r>
        <w:rPr>
          <w:rFonts w:ascii="Segoe UI Emoji" w:cs="Segoe UI Emoji" w:eastAsia="Segoe UI Emoji" w:hAnsi="Segoe UI Emoji"/>
          <w:sz w:val="96"/>
          <w:szCs w:val="96"/>
        </w:rPr>
        <w:t xml:space="preserve">🌾</w:t>
      </w:r>
    </w:p>
    <w:p>
      <w:pPr>
        <w:spacing w:before="80" w:after="80"/>
        <w:jc w:val="center"/>
      </w:pPr>
      <w:r>
        <w:rPr>
          <w:rFonts w:ascii="Arial" w:cs="Arial" w:eastAsia="Arial" w:hAnsi="Arial"/>
          <w:b/>
          <w:bCs/>
          <w:color w:val="1A5632"/>
          <w:sz w:val="56"/>
          <w:szCs w:val="56"/>
        </w:rPr>
        <w:t xml:space="preserve">KRISHIMIND</w:t>
      </w:r>
    </w:p>
    <w:p>
      <w:pPr>
        <w:spacing w:before="40" w:after="40"/>
        <w:jc w:val="center"/>
      </w:pPr>
      <w:r>
        <w:rPr>
          <w:rFonts w:ascii="Arial" w:cs="Arial" w:eastAsia="Arial" w:hAnsi="Arial"/>
          <w:b/>
          <w:bCs/>
          <w:color w:val="1B2A4A"/>
          <w:sz w:val="36"/>
          <w:szCs w:val="36"/>
        </w:rPr>
        <w:t xml:space="preserve">National AI Commodity Price Prediction Platform</w:t>
      </w:r>
    </w:p>
    <w:p>
      <w:pPr>
        <w:spacing w:before="60" w:after="60"/>
        <w:jc w:val="center"/>
      </w:pPr>
      <w:r>
        <w:rPr>
          <w:rFonts w:ascii="Arial" w:cs="Arial" w:eastAsia="Arial" w:hAnsi="Arial"/>
          <w:i/>
          <w:iCs/>
          <w:color w:val="2C3E50"/>
          <w:sz w:val="26"/>
          <w:szCs w:val="26"/>
        </w:rPr>
        <w:t xml:space="preserve">Complete Architecture, Design &amp; Implementation Blueprint</w:t>
      </w:r>
    </w:p>
    <w:p>
      <w:pPr>
        <w:spacing w:before="0" w:after="160"/>
      </w:pPr>
      <w:r>
        <w:rPr>
          <w:rFonts w:ascii="Arial" w:cs="Arial" w:eastAsia="Arial" w:hAnsi="Arial"/>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7AE60" w:sz="6"/>
              <w:left w:val="single" w:color="27AE60" w:sz="6"/>
              <w:bottom w:val="single" w:color="27AE60" w:sz="6"/>
              <w:right w:val="single" w:color="27AE60" w:sz="6"/>
            </w:tcBorders>
            <w:shd w:fill="D5F5E3" w:val="clear"/>
            <w:tcMar>
              <w:top w:type="dxa" w:w="200"/>
              <w:left w:type="dxa" w:w="200"/>
              <w:bottom w:type="dxa" w:w="200"/>
              <w:right w:type="dxa" w:w="200"/>
            </w:tcMar>
          </w:tcPr>
          <w:p>
            <w:pPr>
              <w:spacing w:before="40" w:after="60"/>
              <w:jc w:val="center"/>
            </w:pPr>
            <w:r>
              <w:rPr>
                <w:rFonts w:ascii="Arial" w:cs="Arial" w:eastAsia="Arial" w:hAnsi="Arial"/>
                <w:b/>
                <w:bCs/>
                <w:color w:val="1A5632"/>
                <w:sz w:val="22"/>
                <w:szCs w:val="22"/>
              </w:rPr>
              <w:t xml:space="preserve">Serving 150 Million Farmers | 7,000+ Mandis | All Indian States</w:t>
            </w:r>
          </w:p>
          <w:p>
            <w:pPr>
              <w:spacing w:before="20" w:after="20"/>
              <w:jc w:val="center"/>
            </w:pPr>
            <w:r>
              <w:rPr>
                <w:rFonts w:ascii="Arial" w:cs="Arial" w:eastAsia="Arial" w:hAnsi="Arial"/>
                <w:color w:val="2C3E50"/>
                <w:sz w:val="21"/>
                <w:szCs w:val="21"/>
              </w:rPr>
              <w:t xml:space="preserve">Mustard  •  Wheat  •  Soybean  •  Rice  •  Maize  •  Cotton  •  Pulses</w:t>
            </w:r>
          </w:p>
        </w:tc>
      </w:tr>
    </w:tbl>
    <w:p>
      <w:pPr>
        <w:spacing w:before="0" w:after="240"/>
      </w:pPr>
      <w:r>
        <w:rPr>
          <w:rFonts w:ascii="Arial" w:cs="Arial" w:eastAsia="Arial" w:hAnsi="Arial"/>
        </w:rPr>
        <w:t xml:space="preserve"/>
      </w:r>
    </w:p>
    <w:p>
      <w:pPr>
        <w:spacing w:before="0" w:after="60"/>
        <w:jc w:val="center"/>
      </w:pPr>
      <w:r>
        <w:rPr>
          <w:rFonts w:ascii="Arial" w:cs="Arial" w:eastAsia="Arial" w:hAnsi="Arial"/>
          <w:b/>
          <w:bCs/>
          <w:color w:val="27AE60"/>
          <w:sz w:val="22"/>
          <w:szCs w:val="22"/>
        </w:rPr>
        <w:t xml:space="preserve">Central Government Scale | AI-Powered | Multi-language</w:t>
      </w:r>
    </w:p>
    <w:p>
      <w:pPr>
        <w:jc w:val="center"/>
      </w:pPr>
      <w:r>
        <w:rPr>
          <w:rFonts w:ascii="Arial" w:cs="Arial" w:eastAsia="Arial" w:hAnsi="Arial"/>
          <w:color w:val="777777"/>
          <w:sz w:val="20"/>
          <w:szCs w:val="20"/>
        </w:rPr>
        <w:t xml:space="preserve">Architecture Document  —  March 2026</w:t>
      </w:r>
    </w:p>
    <w:p>
      <w:r>
        <w:br w:type="page"/>
      </w:r>
    </w:p>
    <w:p>
      <w:pPr>
        <w:pStyle w:val="Heading1"/>
        <w:spacing w:before="320" w:after="160"/>
      </w:pPr>
      <w:r>
        <w:rPr>
          <w:rFonts w:ascii="Arial" w:cs="Arial" w:eastAsia="Arial" w:hAnsi="Arial"/>
          <w:b/>
          <w:bCs/>
          <w:color w:val="1A5632"/>
          <w:sz w:val="32"/>
          <w:szCs w:val="32"/>
        </w:rPr>
        <w:t xml:space="preserve">1. Platform Overview</w:t>
      </w:r>
    </w:p>
    <w:p>
      <w:pPr>
        <w:spacing w:before="60" w:after="100"/>
      </w:pPr>
      <w:r>
        <w:rPr>
          <w:rFonts w:ascii="Arial" w:cs="Arial" w:eastAsia="Arial" w:hAnsi="Arial"/>
          <w:color w:val="333333"/>
          <w:sz w:val="22"/>
          <w:szCs w:val="22"/>
        </w:rPr>
        <w:t xml:space="preserve">KrishiMind is a national-scale, AI-powered agricultural commodity price prediction platform designed to serve every stakeholder in India's agri-value chain — from smallholder farmers in rural Chhattisgarh to commodity traders in Mumbai and policymakers in New Delhi. The platform ingests real-time and historical data from over 7,000 APMC mandis across all Indian states, combines it with weather intelligence, satellite imagery, global market signals, and government procurement data, then applies advanced machine learning models to generate accurate price forecasts across 1-day, 7-day, 30-day, and seasonal horizons.</w:t>
      </w:r>
    </w:p>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1.1 End-to-End Platform Flow</w:t>
      </w:r>
    </w:p>
    <w:p>
      <w:pPr>
        <w:spacing w:before="60" w:after="100"/>
      </w:pPr>
      <w:r>
        <w:rPr>
          <w:rFonts w:ascii="Arial" w:cs="Arial" w:eastAsia="Arial" w:hAnsi="Arial"/>
          <w:color w:val="333333"/>
          <w:sz w:val="22"/>
          <w:szCs w:val="22"/>
        </w:rPr>
        <w:t xml:space="preserve">The platform operates across five core layers:</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2360"/>
      </w:tblGrid>
      <w:tr>
        <w:tc>
          <w:tcPr>
            <w:tcW w:type="dxa" w:w="140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INGESTION</w:t>
            </w:r>
          </w:p>
        </w:tc>
        <w:tc>
          <w:tcPr>
            <w:tcW w:type="dxa" w:w="1400"/>
            <w:tcBorders>
              <w:top w:val="single" w:color="1A5632" w:sz="1"/>
              <w:left w:val="single" w:color="1A5632" w:sz="1"/>
              <w:bottom w:val="single" w:color="1A5632" w:sz="1"/>
              <w:right w:val="single" w:color="1A5632" w:sz="1"/>
            </w:tcBorders>
            <w:shd w:fill="1A6B3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PIPELINE</w:t>
            </w:r>
          </w:p>
        </w:tc>
        <w:tc>
          <w:tcPr>
            <w:tcW w:type="dxa" w:w="1400"/>
            <w:tcBorders>
              <w:top w:val="single" w:color="1A5632" w:sz="1"/>
              <w:left w:val="single" w:color="1A5632" w:sz="1"/>
              <w:bottom w:val="single" w:color="1A5632" w:sz="1"/>
              <w:right w:val="single" w:color="1A5632" w:sz="1"/>
            </w:tcBorders>
            <w:shd w:fill="1E7A4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AI MODEL
LAYER</w:t>
            </w:r>
          </w:p>
        </w:tc>
        <w:tc>
          <w:tcPr>
            <w:tcW w:type="dxa" w:w="1400"/>
            <w:tcBorders>
              <w:top w:val="single" w:color="1A5632" w:sz="1"/>
              <w:left w:val="single" w:color="1A5632" w:sz="1"/>
              <w:bottom w:val="single" w:color="1A5632" w:sz="1"/>
              <w:right w:val="single" w:color="1A5632"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
ENGINE</w:t>
            </w:r>
          </w:p>
        </w:tc>
        <w:tc>
          <w:tcPr>
            <w:tcW w:type="dxa" w:w="1400"/>
            <w:tcBorders>
              <w:top w:val="single" w:color="1A5632" w:sz="1"/>
              <w:left w:val="single" w:color="1A5632" w:sz="1"/>
              <w:bottom w:val="single" w:color="1A5632" w:sz="1"/>
              <w:right w:val="single" w:color="1A5632" w:sz="1"/>
            </w:tcBorders>
            <w:shd w:fill="2ECC71"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DELIVERY
LAYER</w:t>
            </w:r>
          </w:p>
        </w:tc>
        <w:tc>
          <w:tcPr>
            <w:tcW w:type="dxa" w:w="2360"/>
            <w:tcBorders>
              <w:top w:val="single" w:color="1A5632" w:sz="1"/>
              <w:left w:val="single" w:color="1A5632" w:sz="1"/>
              <w:bottom w:val="single" w:color="1A5632" w:sz="1"/>
              <w:right w:val="single" w:color="1A5632" w:sz="1"/>
            </w:tcBorders>
            <w:shd w:fill="82E0A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USER
INTERFACE</w:t>
            </w:r>
          </w:p>
        </w:tc>
      </w:tr>
      <w:tr>
        <w:tc>
          <w:tcPr>
            <w:tcW w:type="dxa" w:w="1400"/>
            <w:tcBorders>
              <w:top w:val="single" w:color="BFC9CA" w:sz="1"/>
              <w:left w:val="single" w:color="BFC9CA" w:sz="1"/>
              <w:bottom w:val="single" w:color="BFC9CA" w:sz="1"/>
              <w:right w:val="single" w:color="BFC9CA" w:sz="1"/>
            </w:tcBorders>
            <w:shd w:fill="D5F5E3" w:val="clear"/>
            <w:tcMar>
              <w:top w:type="dxa" w:w="100"/>
              <w:left w:type="dxa" w:w="140"/>
              <w:bottom w:type="dxa" w:w="100"/>
              <w:right w:type="dxa" w:w="140"/>
            </w:tcMar>
          </w:tcPr>
          <w:p>
            <w:r>
              <w:rPr>
                <w:rFonts w:ascii="Arial" w:cs="Arial" w:eastAsia="Arial" w:hAnsi="Arial"/>
                <w:color w:val="2C3E50"/>
                <w:sz w:val="18"/>
                <w:szCs w:val="18"/>
              </w:rPr>
              <w:t xml:space="preserve">AGMARKNET
APMC APIs
Weather APIs
Satellite Data
Global Markets
MSP / Govt data</w:t>
            </w:r>
          </w:p>
        </w:tc>
        <w:tc>
          <w:tcPr>
            <w:tcW w:type="dxa" w:w="1400"/>
            <w:tcBorders>
              <w:top w:val="single" w:color="BFC9CA" w:sz="1"/>
              <w:left w:val="single" w:color="BFC9CA" w:sz="1"/>
              <w:bottom w:val="single" w:color="BFC9CA" w:sz="1"/>
              <w:right w:val="single" w:color="BFC9CA" w:sz="1"/>
            </w:tcBorders>
            <w:shd w:fill="D5F5E3" w:val="clear"/>
            <w:tcMar>
              <w:top w:type="dxa" w:w="100"/>
              <w:left w:type="dxa" w:w="140"/>
              <w:bottom w:type="dxa" w:w="100"/>
              <w:right w:type="dxa" w:w="140"/>
            </w:tcMar>
          </w:tcPr>
          <w:p>
            <w:r>
              <w:rPr>
                <w:rFonts w:ascii="Arial" w:cs="Arial" w:eastAsia="Arial" w:hAnsi="Arial"/>
                <w:color w:val="2C3E50"/>
                <w:sz w:val="18"/>
                <w:szCs w:val="18"/>
              </w:rPr>
              <w:t xml:space="preserve">Kafka Streams
Apache Spark
Airflow DAGs
Data Cleaning
Feature Eng.</w:t>
            </w:r>
          </w:p>
        </w:tc>
        <w:tc>
          <w:tcPr>
            <w:tcW w:type="dxa" w:w="1400"/>
            <w:tcBorders>
              <w:top w:val="single" w:color="BFC9CA" w:sz="1"/>
              <w:left w:val="single" w:color="BFC9CA" w:sz="1"/>
              <w:bottom w:val="single" w:color="BFC9CA" w:sz="1"/>
              <w:right w:val="single" w:color="BFC9CA" w:sz="1"/>
            </w:tcBorders>
            <w:shd w:fill="D5F5E3" w:val="clear"/>
            <w:tcMar>
              <w:top w:type="dxa" w:w="100"/>
              <w:left w:type="dxa" w:w="140"/>
              <w:bottom w:type="dxa" w:w="100"/>
              <w:right w:type="dxa" w:w="140"/>
            </w:tcMar>
          </w:tcPr>
          <w:p>
            <w:r>
              <w:rPr>
                <w:rFonts w:ascii="Arial" w:cs="Arial" w:eastAsia="Arial" w:hAnsi="Arial"/>
                <w:color w:val="2C3E50"/>
                <w:sz w:val="18"/>
                <w:szCs w:val="18"/>
              </w:rPr>
              <w:t xml:space="preserve">LSTM
Prophet
XGBoost
Random Forest
Ensemble Model</w:t>
            </w:r>
          </w:p>
        </w:tc>
        <w:tc>
          <w:tcPr>
            <w:tcW w:type="dxa" w:w="1400"/>
            <w:tcBorders>
              <w:top w:val="single" w:color="BFC9CA" w:sz="1"/>
              <w:left w:val="single" w:color="BFC9CA" w:sz="1"/>
              <w:bottom w:val="single" w:color="BFC9CA" w:sz="1"/>
              <w:right w:val="single" w:color="BFC9CA" w:sz="1"/>
            </w:tcBorders>
            <w:shd w:fill="D5F5E3" w:val="clear"/>
            <w:tcMar>
              <w:top w:type="dxa" w:w="100"/>
              <w:left w:type="dxa" w:w="140"/>
              <w:bottom w:type="dxa" w:w="100"/>
              <w:right w:type="dxa" w:w="140"/>
            </w:tcMar>
          </w:tcPr>
          <w:p>
            <w:r>
              <w:rPr>
                <w:rFonts w:ascii="Arial" w:cs="Arial" w:eastAsia="Arial" w:hAnsi="Arial"/>
                <w:color w:val="2C3E50"/>
                <w:sz w:val="18"/>
                <w:szCs w:val="18"/>
              </w:rPr>
              <w:t xml:space="preserve">1-Day Forecast
7-Day Forecast
30-Day Forecast
Seasonal Outlook
Confidence Score</w:t>
            </w:r>
          </w:p>
        </w:tc>
        <w:tc>
          <w:tcPr>
            <w:tcW w:type="dxa" w:w="1400"/>
            <w:tcBorders>
              <w:top w:val="single" w:color="BFC9CA" w:sz="1"/>
              <w:left w:val="single" w:color="BFC9CA" w:sz="1"/>
              <w:bottom w:val="single" w:color="BFC9CA" w:sz="1"/>
              <w:right w:val="single" w:color="BFC9CA" w:sz="1"/>
            </w:tcBorders>
            <w:shd w:fill="D5F5E3" w:val="clear"/>
            <w:tcMar>
              <w:top w:type="dxa" w:w="100"/>
              <w:left w:type="dxa" w:w="140"/>
              <w:bottom w:type="dxa" w:w="100"/>
              <w:right w:type="dxa" w:w="140"/>
            </w:tcMar>
          </w:tcPr>
          <w:p>
            <w:r>
              <w:rPr>
                <w:rFonts w:ascii="Arial" w:cs="Arial" w:eastAsia="Arial" w:hAnsi="Arial"/>
                <w:color w:val="2C3E50"/>
                <w:sz w:val="18"/>
                <w:szCs w:val="18"/>
              </w:rPr>
              <w:t xml:space="preserve">REST APIs
Push Alerts
SMS Gateway
Webhooks
Govt Feed</w:t>
            </w:r>
          </w:p>
        </w:tc>
        <w:tc>
          <w:tcPr>
            <w:tcW w:type="dxa" w:w="2360"/>
            <w:tcBorders>
              <w:top w:val="single" w:color="BFC9CA" w:sz="1"/>
              <w:left w:val="single" w:color="BFC9CA" w:sz="1"/>
              <w:bottom w:val="single" w:color="BFC9CA" w:sz="1"/>
              <w:right w:val="single" w:color="BFC9CA" w:sz="1"/>
            </w:tcBorders>
            <w:shd w:fill="D5F5E3" w:val="clear"/>
            <w:tcMar>
              <w:top w:type="dxa" w:w="100"/>
              <w:left w:type="dxa" w:w="140"/>
              <w:bottom w:type="dxa" w:w="100"/>
              <w:right w:type="dxa" w:w="140"/>
            </w:tcMar>
          </w:tcPr>
          <w:p>
            <w:r>
              <w:rPr>
                <w:rFonts w:ascii="Arial" w:cs="Arial" w:eastAsia="Arial" w:hAnsi="Arial"/>
                <w:color w:val="2C3E50"/>
                <w:sz w:val="18"/>
                <w:szCs w:val="18"/>
              </w:rPr>
              <w:t xml:space="preserve">Farmer App
Trader Dashboard
Govt Portal
Exporter Suite
SMS/IVR</w:t>
            </w:r>
          </w:p>
        </w:tc>
      </w:tr>
    </w:tbl>
    <w:p>
      <w:pPr>
        <w:spacing w:before="0" w:after="16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1.2 Who Benefits and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User Type</w:t>
            </w:r>
          </w:p>
        </w:tc>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Primary Pain Point</w:t>
            </w:r>
          </w:p>
        </w:tc>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Platform Solution</w:t>
            </w:r>
          </w:p>
        </w:tc>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Key Feature Used</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Small &amp; Marginal Farmers</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Unknown when to sell, distress sales</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7-day price forecast per mandi</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Mobile App + SMS Alerts</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Traders &amp; Commission Agents</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Price arbitrage, sourcing decisions</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Multi-mandi comparison, arrival data</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Trader Dashboard</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Exporters</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FOB pricing, demand forecasting</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Export price prediction, global price link</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Exporter Suite</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FPOs / Cooperatives</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Collective sell timing</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Seasonal outlook, storage advisory</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Group Alerts + Dashboard</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Govt. / NAFED / FCI</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Procurement planning, MSP effectiveness</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Demand-supply intelligence</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Policy Portal</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Commodity Exchanges (MCX)</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Settlement price reference</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Real-time AI-based forward estimates</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API Integration</w:t>
            </w:r>
          </w:p>
        </w:tc>
      </w:tr>
    </w:tbl>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24"/>
              <w:bottom w:val="single" w:color="27AE60" w:sz="4"/>
              <w:right w:val="single" w:color="BFC9CA" w:sz="1"/>
            </w:tcBorders>
            <w:shd w:fill="D5F5E3" w:val="clear"/>
            <w:tcMar>
              <w:top w:type="dxa" w:w="100"/>
              <w:left w:type="dxa" w:w="140"/>
              <w:bottom w:type="dxa" w:w="100"/>
              <w:right w:type="dxa" w:w="140"/>
            </w:tcMar>
          </w:tcPr>
          <w:p>
            <w:pPr>
              <w:spacing w:before="40" w:after="40"/>
            </w:pPr>
            <w:r>
              <w:rPr>
                <w:rFonts w:ascii="Arial" w:cs="Arial" w:eastAsia="Arial" w:hAnsi="Arial"/>
                <w:b/>
                <w:bCs/>
                <w:color w:val="1A5632"/>
                <w:sz w:val="22"/>
                <w:szCs w:val="22"/>
              </w:rPr>
              <w:t xml:space="preserve">Vision: </w:t>
            </w:r>
            <w:r>
              <w:rPr>
                <w:rFonts w:ascii="Arial" w:cs="Arial" w:eastAsia="Arial" w:hAnsi="Arial"/>
                <w:color w:val="333333"/>
                <w:sz w:val="22"/>
                <w:szCs w:val="22"/>
              </w:rPr>
              <w:t xml:space="preserve">Every Indian farmer, regardless of literacy or smartphone access, receives actionable price intelligence before deciding when and where to sell their harvest.</w:t>
            </w:r>
          </w:p>
        </w:tc>
      </w:tr>
    </w:tbl>
    <w:p>
      <w:pPr>
        <w:spacing w:before="0" w:after="80"/>
      </w:pPr>
      <w:r>
        <w:rPr>
          <w:rFonts w:ascii="Arial" w:cs="Arial" w:eastAsia="Arial" w:hAnsi="Arial"/>
        </w:rPr>
        <w:t xml:space="preserve"/>
      </w:r>
    </w:p>
    <w:p>
      <w:pPr>
        <w:pBdr>
          <w:bottom w:val="single" w:color="27AE60" w:sz="6" w:space="1"/>
        </w:pBdr>
        <w:spacing w:before="200" w:after="200"/>
      </w:pPr>
      <w:r>
        <w:rPr>
          <w:rFonts w:ascii="Arial" w:cs="Arial" w:eastAsia="Arial" w:hAnsi="Arial"/>
        </w:rPr>
        <w:t xml:space="preserve"/>
      </w:r>
    </w:p>
    <w:p>
      <w:pPr>
        <w:pStyle w:val="Heading1"/>
        <w:spacing w:before="320" w:after="160"/>
      </w:pPr>
      <w:r>
        <w:rPr>
          <w:rFonts w:ascii="Arial" w:cs="Arial" w:eastAsia="Arial" w:hAnsi="Arial"/>
          <w:b/>
          <w:bCs/>
          <w:color w:val="1A5632"/>
          <w:sz w:val="32"/>
          <w:szCs w:val="32"/>
        </w:rPr>
        <w:t xml:space="preserve">2. Data Sources &amp; Automated Collection</w:t>
      </w:r>
    </w:p>
    <w:p>
      <w:pPr>
        <w:spacing w:before="60" w:after="100"/>
      </w:pPr>
      <w:r>
        <w:rPr>
          <w:rFonts w:ascii="Arial" w:cs="Arial" w:eastAsia="Arial" w:hAnsi="Arial"/>
          <w:color w:val="333333"/>
          <w:sz w:val="22"/>
          <w:szCs w:val="22"/>
        </w:rPr>
        <w:t xml:space="preserve">KrishiMind relies on a curated, multi-source data universe spanning government portals, weather systems, satellite platforms, and global commodity exchanges. All data collection is automated via scheduled API calls, web scrapers, and FTP/SFTP ingestion pipelines.</w:t>
      </w:r>
    </w:p>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2.1 Primary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1872"/>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Data Provided</w:t>
            </w:r>
          </w:p>
        </w:tc>
        <w:tc>
          <w:tcPr>
            <w:tcW w:type="dxa" w:w="1872"/>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Collection Method</w:t>
            </w:r>
          </w:p>
        </w:tc>
        <w:tc>
          <w:tcPr>
            <w:tcW w:type="dxa" w:w="1872"/>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c>
          <w:tcPr>
            <w:tcW w:type="dxa" w:w="1872"/>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Format</w:t>
            </w:r>
          </w:p>
        </w:tc>
      </w:tr>
      <w:tr>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AGMARKNET (agmarknet.gov.in)</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Mandi prices (modal, min, max) for 300+ commodities across 7,000+ mandis</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REST API + HTTP scraper</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Daily</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JSON / CSV</w:t>
            </w:r>
          </w:p>
        </w:tc>
      </w:tr>
      <w:tr>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eNAM Portal</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Live mandi trading prices, auction data, lot details</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REST API (registered access)</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Real-time / Intraday</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JSON</w:t>
            </w:r>
          </w:p>
        </w:tc>
      </w:tr>
      <w:tr>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APMC State Portals (22 states)</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Mandi arrivals, regional committee data, seasonal patterns</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State-specific scrapers</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Daily / Weekly</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HTML / CSV</w:t>
            </w:r>
          </w:p>
        </w:tc>
      </w:tr>
      <w:tr>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IMD (India Meteorological Dept.)</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Rainfall, temperature, humidity, drought index by district</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OpenAPI + FTP</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Daily / 6-hourly</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GRIB / JSON</w:t>
            </w:r>
          </w:p>
        </w:tc>
      </w:tr>
      <w:tr>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NOAA / Open-Meteo</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Global weather forecasts, El Niño/La Niña index</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REST API</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6-hourly</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JSON</w:t>
            </w:r>
          </w:p>
        </w:tc>
      </w:tr>
      <w:tr>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Ministry of Agriculture (DACFW)</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MSP announcements, crop area statistics, production estimates</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Official PDF + RSS + API</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Seasonal</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PDF / XML</w:t>
            </w:r>
          </w:p>
        </w:tc>
      </w:tr>
      <w:tr>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DGFT / APEDA</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Export permits, quota data, HS code-wise shipments</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REST API / Portal scraper</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Daily</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JSON / Excel</w:t>
            </w:r>
          </w:p>
        </w:tc>
      </w:tr>
      <w:tr>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CMIE, Bloomberg (Licensed)</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Global commodity futures (CBOT, NYMEX, Bursa Malaysia)</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Licensed data feed</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Real-time</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FIX / JSON</w:t>
            </w:r>
          </w:p>
        </w:tc>
      </w:tr>
      <w:tr>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NASA MODIS / Sentinel-2 (ESA)</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NDVI (crop health), sowing area, flood mapping</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Google Earth Engine API</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Weekly (10-day)</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GeoTIFF / JSON</w:t>
            </w:r>
          </w:p>
        </w:tc>
      </w:tr>
      <w:tr>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NRSA / Fasal Scheme (ISRO)</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Crop cutting experiment data, yield estimates</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Govt. API / FTP</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Seasonal</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CSV / XML</w:t>
            </w:r>
          </w:p>
        </w:tc>
      </w:tr>
      <w:tr>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NAFED / FCI Portals</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Govt. procurement volumes, buffer stock levels</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Portal scraper</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Weekly</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PDF / HTML</w:t>
            </w:r>
          </w:p>
        </w:tc>
      </w:tr>
      <w:tr>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World Bank / FAO</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Global food price index, trade statistics</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Open Data API</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Monthly</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JSON / CSV</w:t>
            </w:r>
          </w:p>
        </w:tc>
      </w:tr>
    </w:tbl>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2.2 Data Collection Architecture</w:t>
      </w:r>
    </w:p>
    <w:p>
      <w:pPr>
        <w:pStyle w:val="Heading3"/>
        <w:spacing w:before="180" w:after="80"/>
      </w:pPr>
      <w:r>
        <w:rPr>
          <w:rFonts w:ascii="Arial" w:cs="Arial" w:eastAsia="Arial" w:hAnsi="Arial"/>
          <w:b/>
          <w:bCs/>
          <w:color w:val="2C3E50"/>
          <w:sz w:val="24"/>
          <w:szCs w:val="24"/>
        </w:rPr>
        <w:t xml:space="preserve">AGMARKNET Automated Collection</w:t>
      </w:r>
    </w:p>
    <w:p>
      <w:pPr>
        <w:spacing w:before="60" w:after="100"/>
      </w:pPr>
      <w:r>
        <w:rPr>
          <w:rFonts w:ascii="Arial" w:cs="Arial" w:eastAsia="Arial" w:hAnsi="Arial"/>
          <w:color w:val="333333"/>
          <w:sz w:val="22"/>
          <w:szCs w:val="22"/>
        </w:rPr>
        <w:t xml:space="preserve">The AGMARKNET API endpoint accepts commodity code, state, and date range parameters. A Python-based ingestion service loops through all active commodities and mandis daily, handling pagination and rate limits via exponential backoff. Data is validated for completeness (non-null modal price, non-zero arrivals) before loading.</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24"/>
              <w:bottom w:val="single" w:color="27AE60" w:sz="4"/>
              <w:right w:val="single" w:color="BFC9CA" w:sz="1"/>
            </w:tcBorders>
            <w:shd w:fill="D5F5E3" w:val="clear"/>
            <w:tcMar>
              <w:top w:type="dxa" w:w="100"/>
              <w:left w:type="dxa" w:w="140"/>
              <w:bottom w:type="dxa" w:w="100"/>
              <w:right w:type="dxa" w:w="140"/>
            </w:tcMar>
          </w:tcPr>
          <w:p>
            <w:pPr>
              <w:spacing w:before="40" w:after="40"/>
            </w:pPr>
            <w:r>
              <w:rPr>
                <w:rFonts w:ascii="Arial" w:cs="Arial" w:eastAsia="Arial" w:hAnsi="Arial"/>
                <w:b/>
                <w:bCs/>
                <w:color w:val="1A5632"/>
                <w:sz w:val="22"/>
                <w:szCs w:val="22"/>
              </w:rPr>
              <w:t xml:space="preserve">Code Pattern: </w:t>
            </w:r>
            <w:r>
              <w:rPr>
                <w:rFonts w:ascii="Arial" w:cs="Arial" w:eastAsia="Arial" w:hAnsi="Arial"/>
                <w:color w:val="333333"/>
                <w:sz w:val="22"/>
                <w:szCs w:val="22"/>
              </w:rPr>
              <w:t xml:space="preserve">requests.get('https://agmarknet.gov.in/SearchCommodityWise.aspx', params={'commodity': code, 'state': state_code, 'date': date}) → parse HTML table → validate → load to raw zone in S3.</w:t>
            </w:r>
          </w:p>
        </w:tc>
      </w:tr>
    </w:tbl>
    <w:p>
      <w:pPr>
        <w:spacing w:before="0" w:after="80"/>
      </w:pPr>
      <w:r>
        <w:rPr>
          <w:rFonts w:ascii="Arial" w:cs="Arial" w:eastAsia="Arial" w:hAnsi="Arial"/>
        </w:rPr>
        <w:t xml:space="preserve"/>
      </w:r>
    </w:p>
    <w:p>
      <w:pPr>
        <w:pStyle w:val="Heading3"/>
        <w:spacing w:before="180" w:after="80"/>
      </w:pPr>
      <w:r>
        <w:rPr>
          <w:rFonts w:ascii="Arial" w:cs="Arial" w:eastAsia="Arial" w:hAnsi="Arial"/>
          <w:b/>
          <w:bCs/>
          <w:color w:val="2C3E50"/>
          <w:sz w:val="24"/>
          <w:szCs w:val="24"/>
        </w:rPr>
        <w:t xml:space="preserve">Satellite Data via Google Earth Engine</w:t>
      </w:r>
    </w:p>
    <w:p>
      <w:pPr>
        <w:spacing w:before="60" w:after="100"/>
      </w:pPr>
      <w:r>
        <w:rPr>
          <w:rFonts w:ascii="Arial" w:cs="Arial" w:eastAsia="Arial" w:hAnsi="Arial"/>
          <w:color w:val="333333"/>
          <w:sz w:val="22"/>
          <w:szCs w:val="22"/>
        </w:rPr>
        <w:t xml:space="preserve">NDVI time-series data for each major crop-growing district is pulled using the Google Earth Engine Python API. MODIS Terra product (MOD13Q1) provides 250m resolution NDVI at 16-day composites. This data feeds crop health indices into the feature engineering layer, enabling the model to detect early stress signals that correlate with yield shortfalls and future price spikes.</w:t>
      </w:r>
    </w:p>
    <w:p>
      <w:pPr>
        <w:spacing w:before="0" w:after="80"/>
      </w:pPr>
      <w:r>
        <w:rPr>
          <w:rFonts w:ascii="Arial" w:cs="Arial" w:eastAsia="Arial" w:hAnsi="Arial"/>
        </w:rPr>
        <w:t xml:space="preserve"/>
      </w:r>
    </w:p>
    <w:p>
      <w:pPr>
        <w:pStyle w:val="Heading3"/>
        <w:spacing w:before="180" w:after="80"/>
      </w:pPr>
      <w:r>
        <w:rPr>
          <w:rFonts w:ascii="Arial" w:cs="Arial" w:eastAsia="Arial" w:hAnsi="Arial"/>
          <w:b/>
          <w:bCs/>
          <w:color w:val="2C3E50"/>
          <w:sz w:val="24"/>
          <w:szCs w:val="24"/>
        </w:rPr>
        <w:t xml:space="preserve">Weather Data Pipeline</w:t>
      </w:r>
    </w:p>
    <w:p>
      <w:pPr>
        <w:spacing w:before="60" w:after="100"/>
      </w:pPr>
      <w:r>
        <w:rPr>
          <w:rFonts w:ascii="Arial" w:cs="Arial" w:eastAsia="Arial" w:hAnsi="Arial"/>
          <w:color w:val="333333"/>
          <w:sz w:val="22"/>
          <w:szCs w:val="22"/>
        </w:rPr>
        <w:t xml:space="preserve">IMD's Griddded Rainfall Dataset and district-level forecast data is fetched via IMD's data portal API. Open-Meteo provides a free, high-resolution global weather API that is used for forward-looking weather features (7-day and 30-day outlook) without licensing costs at the MVP stage.</w:t>
      </w:r>
    </w:p>
    <w:p>
      <w:pPr>
        <w:spacing w:before="0" w:after="80"/>
      </w:pPr>
      <w:r>
        <w:rPr>
          <w:rFonts w:ascii="Arial" w:cs="Arial" w:eastAsia="Arial" w:hAnsi="Arial"/>
        </w:rPr>
        <w:t xml:space="preserve"/>
      </w:r>
    </w:p>
    <w:p>
      <w:pPr>
        <w:pBdr>
          <w:bottom w:val="single" w:color="27AE60" w:sz="6" w:space="1"/>
        </w:pBdr>
        <w:spacing w:before="200" w:after="200"/>
      </w:pPr>
      <w:r>
        <w:rPr>
          <w:rFonts w:ascii="Arial" w:cs="Arial" w:eastAsia="Arial" w:hAnsi="Arial"/>
        </w:rPr>
        <w:t xml:space="preserve"/>
      </w:r>
    </w:p>
    <w:p>
      <w:pPr>
        <w:pStyle w:val="Heading1"/>
        <w:spacing w:before="320" w:after="160"/>
      </w:pPr>
      <w:r>
        <w:rPr>
          <w:rFonts w:ascii="Arial" w:cs="Arial" w:eastAsia="Arial" w:hAnsi="Arial"/>
          <w:b/>
          <w:bCs/>
          <w:color w:val="1A5632"/>
          <w:sz w:val="32"/>
          <w:szCs w:val="32"/>
        </w:rPr>
        <w:t xml:space="preserve">3. Data Pipeline Architecture</w:t>
      </w:r>
    </w:p>
    <w:p>
      <w:pPr>
        <w:spacing w:before="60" w:after="100"/>
      </w:pPr>
      <w:r>
        <w:rPr>
          <w:rFonts w:ascii="Arial" w:cs="Arial" w:eastAsia="Arial" w:hAnsi="Arial"/>
          <w:color w:val="333333"/>
          <w:sz w:val="22"/>
          <w:szCs w:val="22"/>
        </w:rPr>
        <w:t xml:space="preserve">The KrishiMind data pipeline is designed as a Lambda Architecture — combining a real-time stream layer for intraday mandi data and a batch layer for historical analysis, model training, and daily forecast generation. The pipeline is fully orchestrated, fault-tolerant, and horizontally scalable.</w:t>
      </w:r>
    </w:p>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3.1 Pipeline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Tool / Technology</w:t>
            </w:r>
          </w:p>
        </w:tc>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Ingestion — Batch</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Apache Airflow (DAGs on EC2/Kubernetes)</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Scheduled scraping of AGMARKNET, IMD, APEDA, satellite APIs. Runs at configurable intervals per source.</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Raw data in S3 / GCS (Parquet/CSV)</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Ingestion — Stream</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Apache Kafka (MSK on AWS)</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eNAM real-time auction feeds, intraday mandi prices via Kafka producers. Topics per commodity.</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Kafka topics → S3 via Kinesis Firehose</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Data Lake — Raw Zone</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AWS S3 / Google Cloud Storage</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Immutable raw data store. All raw dumps stored with date-partitioned folder structure.</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Foundation for replay and audit</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Data Cleaning</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Apache Spark (EMR / Databricks)</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Null imputation, outlier detection, price spike validation, duplicate removal, timezone normalization.</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Cleaned Parquet in Silver zone</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Data Normalization</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Spark + custom Python UDFs</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Price unit standardization (quintal → kg), area normalization (district codes), crop synonym resolution.</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Normalized dimension tables</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Feature Engineering</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PySpark + Pandas (on Spark)</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Lag features (t-1 to t-90), rolling averages (7/14/30-day), weather features, NDVI anomaly, export trend, MSP differential, arrival momentum.</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Feature store (Feast / Hive table)</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Time-Series Database</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InfluxDB / TimescaleDB on PostgreSQL</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Optimized storage for mandi price time-series. Enables rapid range queries for training and inference.</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Queryable time-series</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Relational Store</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PostgreSQL (RDS)</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Mandi master, commodity master, state/district mapping, MSP table, user accounts.</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Master data layer</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Orchestration</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Apache Airflow 2.x</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DAG-based workflow scheduling, dependency management, retry policies, SLA monitoring.</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Scheduled pipeline execution</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Monitoring</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Prometheus + Grafana</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Pipeline health, data freshness, ingestion lag, model drift, API latency alerts.</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Operations dashboard</w:t>
            </w:r>
          </w:p>
        </w:tc>
      </w:tr>
    </w:tbl>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3.2 Feature Engineering — What the Model Sees</w:t>
      </w:r>
    </w:p>
    <w:p>
      <w:pPr>
        <w:spacing w:before="60" w:after="100"/>
      </w:pPr>
      <w:r>
        <w:rPr>
          <w:rFonts w:ascii="Arial" w:cs="Arial" w:eastAsia="Arial" w:hAnsi="Arial"/>
          <w:color w:val="333333"/>
          <w:sz w:val="22"/>
          <w:szCs w:val="22"/>
        </w:rPr>
        <w:t xml:space="preserve">Feature engineering is the most critical phase. The model receives a rich feature vector per (mandi, commodity, date) combination:</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Feature Category</w:t>
            </w:r>
          </w:p>
        </w:tc>
        <w:tc>
          <w:tcPr>
            <w:tcW w:type="dxa" w:w="312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Features Included</w:t>
            </w:r>
          </w:p>
        </w:tc>
        <w:tc>
          <w:tcPr>
            <w:tcW w:type="dxa" w:w="312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Price History</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Modal price t-1, t-7, t-14, t-30, t-90; Rolling avg (7d, 14d, 30d); Price momentum; 52-week high/low</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Core signal for price continuation and mean-reversion</w:t>
            </w:r>
          </w:p>
        </w:tc>
      </w:tr>
      <w:tr>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Arrival Volume</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Daily arrivals (quintals), 7-day rolling arrivals, arrival YoY change, supply shock flag</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Supply-demand imbalance is primary price driver in mandis</w:t>
            </w:r>
          </w:p>
        </w:tc>
      </w:tr>
      <w:tr>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Seasonality</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Month, week-of-year, days-since-harvest, crop calendar stage (sowing/growing/harvest/post-harvest)</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Agricultural prices have strong cyclical seasonality</w:t>
            </w:r>
          </w:p>
        </w:tc>
      </w:tr>
      <w:tr>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Weather Features</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Cumulative rainfall (district, 30-day), drought index, temperature anomaly, IMD season forecast</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Rainfall shocks create yield surprises → price jumps</w:t>
            </w:r>
          </w:p>
        </w:tc>
      </w:tr>
      <w:tr>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Satellite (NDVI)</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Current NDVI vs 5-year average (z-score), NDVI trend over 30 days, district-level crop stress flag</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Early yield signal 45-90 days before harvest</w:t>
            </w:r>
          </w:p>
        </w:tc>
      </w:tr>
      <w:tr>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Government Policy</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MSP announced (yes/no), MSP premium/discount over market price, FCI procurement qty, NAFED buffer</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MSP acts as price floor; procurement signals demand</w:t>
            </w:r>
          </w:p>
        </w:tc>
      </w:tr>
      <w:tr>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Export/Import</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Monthly exports (tonnes), pending DGFT quota (%), global price (CBOT/FOB India vs market spread)</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Export demand links global price to domestic mandi</w:t>
            </w:r>
          </w:p>
        </w:tc>
      </w:tr>
      <w:tr>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Market Structure</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Number of active buyers that day, market concentration, nearby mandi price differential</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Thin markets cause higher volatility</w:t>
            </w:r>
          </w:p>
        </w:tc>
      </w:tr>
    </w:tbl>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24"/>
              <w:bottom w:val="single" w:color="27AE60" w:sz="4"/>
              <w:right w:val="single" w:color="BFC9CA" w:sz="1"/>
            </w:tcBorders>
            <w:shd w:fill="D5F5E3" w:val="clear"/>
            <w:tcMar>
              <w:top w:type="dxa" w:w="100"/>
              <w:left w:type="dxa" w:w="140"/>
              <w:bottom w:type="dxa" w:w="100"/>
              <w:right w:type="dxa" w:w="140"/>
            </w:tcMar>
          </w:tcPr>
          <w:p>
            <w:pPr>
              <w:spacing w:before="40" w:after="40"/>
            </w:pPr>
            <w:r>
              <w:rPr>
                <w:rFonts w:ascii="Arial" w:cs="Arial" w:eastAsia="Arial" w:hAnsi="Arial"/>
                <w:b/>
                <w:bCs/>
                <w:color w:val="1A5632"/>
                <w:sz w:val="22"/>
                <w:szCs w:val="22"/>
              </w:rPr>
              <w:t xml:space="preserve">Key Insight: </w:t>
            </w:r>
            <w:r>
              <w:rPr>
                <w:rFonts w:ascii="Arial" w:cs="Arial" w:eastAsia="Arial" w:hAnsi="Arial"/>
                <w:color w:val="333333"/>
                <w:sz w:val="22"/>
                <w:szCs w:val="22"/>
              </w:rPr>
              <w:t xml:space="preserve">The single most predictive short-term feature for mandi prices is arrival volume deviation from the 30-day rolling average. A 20%+ drop in arrivals in 2–3 consecutive days historically precedes a 5–12% price rise within 7 days for most commodities.</w:t>
            </w:r>
          </w:p>
        </w:tc>
      </w:tr>
    </w:tbl>
    <w:p>
      <w:pPr>
        <w:spacing w:before="0" w:after="80"/>
      </w:pPr>
      <w:r>
        <w:rPr>
          <w:rFonts w:ascii="Arial" w:cs="Arial" w:eastAsia="Arial" w:hAnsi="Arial"/>
        </w:rPr>
        <w:t xml:space="preserve"/>
      </w:r>
    </w:p>
    <w:p>
      <w:pPr>
        <w:pBdr>
          <w:bottom w:val="single" w:color="27AE60" w:sz="6" w:space="1"/>
        </w:pBdr>
        <w:spacing w:before="200" w:after="200"/>
      </w:pPr>
      <w:r>
        <w:rPr>
          <w:rFonts w:ascii="Arial" w:cs="Arial" w:eastAsia="Arial" w:hAnsi="Arial"/>
        </w:rPr>
        <w:t xml:space="preserve"/>
      </w:r>
    </w:p>
    <w:p>
      <w:pPr>
        <w:pStyle w:val="Heading1"/>
        <w:spacing w:before="320" w:after="160"/>
      </w:pPr>
      <w:r>
        <w:rPr>
          <w:rFonts w:ascii="Arial" w:cs="Arial" w:eastAsia="Arial" w:hAnsi="Arial"/>
          <w:b/>
          <w:bCs/>
          <w:color w:val="1A5632"/>
          <w:sz w:val="32"/>
          <w:szCs w:val="32"/>
        </w:rPr>
        <w:t xml:space="preserve">4. AI Prediction Models</w:t>
      </w:r>
    </w:p>
    <w:p>
      <w:pPr>
        <w:spacing w:before="60" w:after="100"/>
      </w:pPr>
      <w:r>
        <w:rPr>
          <w:rFonts w:ascii="Arial" w:cs="Arial" w:eastAsia="Arial" w:hAnsi="Arial"/>
          <w:color w:val="333333"/>
          <w:sz w:val="22"/>
          <w:szCs w:val="22"/>
        </w:rPr>
        <w:t xml:space="preserve">KrishiMind employs a multi-model ensemble strategy. No single model dominates across all commodities, time horizons, and market conditions. The ensemble dynamically weights constituent models based on their recent validation performance for each specific commodity-mandi pair.</w:t>
      </w:r>
    </w:p>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4.1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872"/>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c>
          <w:tcPr>
            <w:tcW w:type="dxa" w:w="1872"/>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Strengths</w:t>
            </w:r>
          </w:p>
        </w:tc>
        <w:tc>
          <w:tcPr>
            <w:tcW w:type="dxa" w:w="1872"/>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Limitations</w:t>
            </w:r>
          </w:p>
        </w:tc>
        <w:tc>
          <w:tcPr>
            <w:tcW w:type="dxa" w:w="1872"/>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Horizon Fit</w:t>
            </w:r>
          </w:p>
        </w:tc>
      </w:tr>
      <w:tr>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LSTM (Long Short-Term Memory)</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All commodities with 2+ years of daily data</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Captures long-range temporal dependencies, seasonal memory, non-linear patterns</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Slow training, needs large data, black-box</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7-day, 30-day</w:t>
            </w:r>
          </w:p>
        </w:tc>
      </w:tr>
      <w:tr>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Prophet (Meta/Facebook)</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Crops with strong seasonality (wheat, rice, mustard)</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Handles seasonality automatically, robust to missing data, interpretable components</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Less accurate for volatile short-term moves</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30-day, Seasonal</w:t>
            </w:r>
          </w:p>
        </w:tc>
      </w:tr>
      <w:tr>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XGBoost (Gradient Boosting)</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Feature-rich tabular prediction</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Handles non-linear interactions, fast training, feature importance, great with mixed features</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Not inherently sequential (needs lag features)</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1-day, 7-day</w:t>
            </w:r>
          </w:p>
        </w:tc>
      </w:tr>
      <w:tr>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Random Forest</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Robust baseline, outlier handling</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Stable predictions, low overfitting risk, good for mandis with sparse data</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Less accurate on sharp trend changes</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1-day, 7-day</w:t>
            </w:r>
          </w:p>
        </w:tc>
      </w:tr>
      <w:tr>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ARIMA / SARIMA</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Stationary series, quick mandis</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Fast, interpretable, works with limited data</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Assumes linearity, poor for structural breaks</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1-day</w:t>
            </w:r>
          </w:p>
        </w:tc>
      </w:tr>
      <w:tr>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Transformer (TFT)</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Complex multi-mandi correlation</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Attention mechanism captures cross-mandi influences, state-of-art accuracy</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High compute, needs 3+ years data</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7-day, 30-day</w:t>
            </w:r>
          </w:p>
        </w:tc>
      </w:tr>
      <w:tr>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Ensemble (Stacked)</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Production forecasts for all crops</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Combines all above, dynamic weighting, lowest overall error</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More complex to maintain</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All horizons</w:t>
            </w:r>
          </w:p>
        </w:tc>
      </w:tr>
    </w:tbl>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4.2 LSTM Architecture for Price Prediction</w:t>
      </w:r>
    </w:p>
    <w:p>
      <w:pPr>
        <w:spacing w:before="60" w:after="100"/>
      </w:pPr>
      <w:r>
        <w:rPr>
          <w:rFonts w:ascii="Arial" w:cs="Arial" w:eastAsia="Arial" w:hAnsi="Arial"/>
          <w:color w:val="333333"/>
          <w:sz w:val="22"/>
          <w:szCs w:val="22"/>
        </w:rPr>
        <w:t xml:space="preserve">The LSTM network receives a sliding window of 90 days of daily observations. Each timestep contains the full feature vector (described in Section 3.2). The architecture uses two stacked LSTM layers (128 and 64 units) with dropout regularization (0.2), followed by a dense output layer. Separate models are trained per commodity group (oilseeds: mustard/soybean; cereals: wheat/rice/maize; fibres: cotton; pulses: all dals).</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24"/>
              <w:bottom w:val="single" w:color="27AE60" w:sz="4"/>
              <w:right w:val="single" w:color="BFC9CA" w:sz="1"/>
            </w:tcBorders>
            <w:shd w:fill="D5F5E3" w:val="clear"/>
            <w:tcMar>
              <w:top w:type="dxa" w:w="100"/>
              <w:left w:type="dxa" w:w="140"/>
              <w:bottom w:type="dxa" w:w="100"/>
              <w:right w:type="dxa" w:w="140"/>
            </w:tcMar>
          </w:tcPr>
          <w:p>
            <w:pPr>
              <w:spacing w:before="40" w:after="40"/>
            </w:pPr>
            <w:r>
              <w:rPr>
                <w:rFonts w:ascii="Arial" w:cs="Arial" w:eastAsia="Arial" w:hAnsi="Arial"/>
                <w:b/>
                <w:bCs/>
                <w:color w:val="1A5632"/>
                <w:sz w:val="22"/>
                <w:szCs w:val="22"/>
              </w:rPr>
              <w:t xml:space="preserve">Architecture: </w:t>
            </w:r>
            <w:r>
              <w:rPr>
                <w:rFonts w:ascii="Arial" w:cs="Arial" w:eastAsia="Arial" w:hAnsi="Arial"/>
                <w:color w:val="333333"/>
                <w:sz w:val="22"/>
                <w:szCs w:val="22"/>
              </w:rPr>
              <w:t xml:space="preserve">Input(90 days × 48 features) → LSTM(128, return_sequences=True) → Dropout(0.2) → LSTM(64) → Dropout(0.2) → Dense(32, relu) → Dense(forecast_days) [1, 7, or 30 outputs]</w:t>
            </w:r>
          </w:p>
        </w:tc>
      </w:tr>
    </w:tbl>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4.3 Prophet for Seasonal Forecasting</w:t>
      </w:r>
    </w:p>
    <w:p>
      <w:pPr>
        <w:spacing w:before="60" w:after="100"/>
      </w:pPr>
      <w:r>
        <w:rPr>
          <w:rFonts w:ascii="Arial" w:cs="Arial" w:eastAsia="Arial" w:hAnsi="Arial"/>
          <w:color w:val="333333"/>
          <w:sz w:val="22"/>
          <w:szCs w:val="22"/>
        </w:rPr>
        <w:t xml:space="preserve">Prophet decomposes the price time-series into trend, yearly seasonality, weekly seasonality, and user-defined regressors. For agricultural commodities, custom seasonality components are added for crop calendar events (sowing/harvest/rabi/kharif) and government policy dummies (MSP announcement month, budget month). This model excels at 30-day and seasonal-outlook predictions where the dominant pattern is cyclical rather than shock-driven.</w:t>
      </w:r>
    </w:p>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4.4 XGBoost for Daily Predictions</w:t>
      </w:r>
    </w:p>
    <w:p>
      <w:pPr>
        <w:spacing w:before="60" w:after="100"/>
      </w:pPr>
      <w:r>
        <w:rPr>
          <w:rFonts w:ascii="Arial" w:cs="Arial" w:eastAsia="Arial" w:hAnsi="Arial"/>
          <w:color w:val="333333"/>
          <w:sz w:val="22"/>
          <w:szCs w:val="22"/>
        </w:rPr>
        <w:t xml:space="preserve">For 1-day and 7-day ahead predictions, XGBoost operates on engineered tabular features and consistently outperforms sequential models in terms of latency and accuracy on the next-day horizon. It benefits from the full feature set including market structure variables that LSTMs struggle to incorporate effectively. SHAP values from XGBoost are used to generate human-readable explanations of predicted price moves.</w:t>
      </w:r>
    </w:p>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4.5 Ensemble Model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Horizon</w:t>
            </w:r>
          </w:p>
        </w:tc>
        <w:tc>
          <w:tcPr>
            <w:tcW w:type="dxa" w:w="1872"/>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Primary Model</w:t>
            </w:r>
          </w:p>
        </w:tc>
        <w:tc>
          <w:tcPr>
            <w:tcW w:type="dxa" w:w="1872"/>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Secondary Model</w:t>
            </w:r>
          </w:p>
        </w:tc>
        <w:tc>
          <w:tcPr>
            <w:tcW w:type="dxa" w:w="1872"/>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Ensemble Method</w:t>
            </w:r>
          </w:p>
        </w:tc>
        <w:tc>
          <w:tcPr>
            <w:tcW w:type="dxa" w:w="1872"/>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Expected MAPE</w:t>
            </w:r>
          </w:p>
        </w:tc>
      </w:tr>
      <w:tr>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1-Day</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XGBoost</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Random Forest</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Weighted average (0.65 / 0.35)</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3–5%</w:t>
            </w:r>
          </w:p>
        </w:tc>
      </w:tr>
      <w:tr>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7-Day</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LSTM</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XGBoost</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Stacking with linear meta-learner</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5–9%</w:t>
            </w:r>
          </w:p>
        </w:tc>
      </w:tr>
      <w:tr>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30-Day</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Prophet + LSTM</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TFT</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Bayesian model averaging</w:t>
            </w:r>
          </w:p>
        </w:tc>
        <w:tc>
          <w:tcPr>
            <w:tcW w:type="dxa" w:w="1872"/>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8–14%</w:t>
            </w:r>
          </w:p>
        </w:tc>
      </w:tr>
      <w:tr>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Seasonal (3-month)</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Prophet</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SARIMA + domain rules</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Weighted + policy override layer</w:t>
            </w:r>
          </w:p>
        </w:tc>
        <w:tc>
          <w:tcPr>
            <w:tcW w:type="dxa" w:w="1872"/>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12–20%</w:t>
            </w:r>
          </w:p>
        </w:tc>
      </w:tr>
    </w:tbl>
    <w:p>
      <w:pPr>
        <w:spacing w:before="0" w:after="80"/>
      </w:pPr>
      <w:r>
        <w:rPr>
          <w:rFonts w:ascii="Arial" w:cs="Arial" w:eastAsia="Arial" w:hAnsi="Arial"/>
        </w:rPr>
        <w:t xml:space="preserve"/>
      </w:r>
    </w:p>
    <w:p>
      <w:pPr>
        <w:spacing w:before="60" w:after="100"/>
      </w:pPr>
      <w:r>
        <w:rPr>
          <w:rFonts w:ascii="Arial" w:cs="Arial" w:eastAsia="Arial" w:hAnsi="Arial"/>
          <w:color w:val="333333"/>
          <w:sz w:val="22"/>
          <w:szCs w:val="22"/>
        </w:rPr>
        <w:t xml:space="preserve">The ensemble meta-learner is retrained weekly using the previous 30 days of prediction vs. actual outcomes across all mandis, continuously adjusting weights to favour models that have been most accurate in recent market conditions.</w:t>
      </w:r>
    </w:p>
    <w:p>
      <w:pPr>
        <w:spacing w:before="0" w:after="80"/>
      </w:pPr>
      <w:r>
        <w:rPr>
          <w:rFonts w:ascii="Arial" w:cs="Arial" w:eastAsia="Arial" w:hAnsi="Arial"/>
        </w:rPr>
        <w:t xml:space="preserve"/>
      </w:r>
    </w:p>
    <w:p>
      <w:pPr>
        <w:pBdr>
          <w:bottom w:val="single" w:color="27AE60" w:sz="6" w:space="1"/>
        </w:pBdr>
        <w:spacing w:before="200" w:after="200"/>
      </w:pPr>
      <w:r>
        <w:rPr>
          <w:rFonts w:ascii="Arial" w:cs="Arial" w:eastAsia="Arial" w:hAnsi="Arial"/>
        </w:rPr>
        <w:t xml:space="preserve"/>
      </w:r>
    </w:p>
    <w:p>
      <w:pPr>
        <w:pStyle w:val="Heading1"/>
        <w:spacing w:before="320" w:after="160"/>
      </w:pPr>
      <w:r>
        <w:rPr>
          <w:rFonts w:ascii="Arial" w:cs="Arial" w:eastAsia="Arial" w:hAnsi="Arial"/>
          <w:b/>
          <w:bCs/>
          <w:color w:val="1A5632"/>
          <w:sz w:val="32"/>
          <w:szCs w:val="32"/>
        </w:rPr>
        <w:t xml:space="preserve">5. Forecasting System Design</w:t>
      </w:r>
    </w:p>
    <w:p>
      <w:pPr>
        <w:pStyle w:val="Heading2"/>
        <w:spacing w:before="240" w:after="120"/>
      </w:pPr>
      <w:r>
        <w:rPr>
          <w:rFonts w:ascii="Arial" w:cs="Arial" w:eastAsia="Arial" w:hAnsi="Arial"/>
          <w:b/>
          <w:bCs/>
          <w:color w:val="1B2A4A"/>
          <w:sz w:val="26"/>
          <w:szCs w:val="26"/>
        </w:rPr>
        <w:t xml:space="preserve">5.1 Multi-Horizon Forecast Framework</w:t>
      </w:r>
    </w:p>
    <w:p>
      <w:pPr>
        <w:spacing w:before="60" w:after="100"/>
      </w:pPr>
      <w:r>
        <w:rPr>
          <w:rFonts w:ascii="Arial" w:cs="Arial" w:eastAsia="Arial" w:hAnsi="Arial"/>
          <w:color w:val="333333"/>
          <w:sz w:val="22"/>
          <w:szCs w:val="22"/>
        </w:rPr>
        <w:t xml:space="preserve">Each forecast is generated as a probability distribution, not a single point estimate. The system outputs a central prediction (median), an optimistic scenario (75th percentile), and a pessimistic scenario (25th percentile). This allows farmers and traders to plan for uncertainty.</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Forecast Type</w:t>
            </w:r>
          </w:p>
        </w:tc>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Output</w:t>
            </w:r>
          </w:p>
        </w:tc>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Update Frequency</w:t>
            </w:r>
          </w:p>
        </w:tc>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Key Driver</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1-Day Forecast</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Tomorrow's modal price per mandi. Directional signal (Up/Down/Stable). Confidence %.</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Updated by 8 PM daily for next morning</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Current arrivals, spot momentum, buyer activity</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7-Day Forecast</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Daily price path for next 7 days with confidence band. Best day to sell recommendation.</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Updated nightly</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Arrival forecast, weather 7-day, demand signal</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30-Day Forecast</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Monthly price range with trend direction. Storage vs. sell recommendation.</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Updated every 3 days</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Seasonal pattern, export demand, crop calendar</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Seasonal Forecast</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Kharif/Rabi season outlook. Price floor/ceiling estimate. MSP adequacy analysis.</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Updated monthly or on policy change</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NDVI/satellite crop health, global market, policy</w:t>
            </w:r>
          </w:p>
        </w:tc>
      </w:tr>
    </w:tbl>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5.2 Confidence Score System</w:t>
      </w:r>
    </w:p>
    <w:p>
      <w:pPr>
        <w:spacing w:before="60" w:after="100"/>
      </w:pPr>
      <w:r>
        <w:rPr>
          <w:rFonts w:ascii="Arial" w:cs="Arial" w:eastAsia="Arial" w:hAnsi="Arial"/>
          <w:color w:val="333333"/>
          <w:sz w:val="22"/>
          <w:szCs w:val="22"/>
        </w:rPr>
        <w:t xml:space="preserve">Every prediction carries a confidence score (0–100) computed from three factors: model agreement (how well the ensemble models agree), data completeness (freshness and coverage of input features), and historical accuracy (model's MAPE on similar market conditions in the past 90 days).</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C9CA" w:sz="1"/>
              <w:left w:val="single" w:color="BFC9CA" w:sz="1"/>
              <w:bottom w:val="single" w:color="BFC9CA" w:sz="1"/>
              <w:right w:val="single" w:color="BFC9CA" w:sz="1"/>
            </w:tcBorders>
            <w:shd w:fill="D5F5E3" w:val="clear"/>
            <w:tcMar>
              <w:top w:type="dxa" w:w="100"/>
              <w:left w:type="dxa" w:w="140"/>
              <w:bottom w:type="dxa" w:w="100"/>
              <w:right w:type="dxa" w:w="140"/>
            </w:tcMar>
          </w:tcPr>
          <w:p>
            <w:r>
              <w:rPr>
                <w:rFonts w:ascii="Arial" w:cs="Arial" w:eastAsia="Arial" w:hAnsi="Arial"/>
                <w:b/>
                <w:bCs/>
                <w:color w:val="1A5632"/>
                <w:sz w:val="20"/>
                <w:szCs w:val="20"/>
              </w:rPr>
              <w:t xml:space="preserve">80–100 (High)</w:t>
            </w:r>
          </w:p>
        </w:tc>
        <w:tc>
          <w:tcPr>
            <w:tcW w:type="dxa" w:w="756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All ensemble models agree, full data available, recent MAPE &lt; 5%. Actionable recommendation shown.</w:t>
            </w:r>
          </w:p>
        </w:tc>
      </w:tr>
      <w:tr>
        <w:tc>
          <w:tcPr>
            <w:tcW w:type="dxa" w:w="180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b/>
                <w:bCs/>
                <w:color w:val="1A5632"/>
                <w:sz w:val="20"/>
                <w:szCs w:val="20"/>
              </w:rPr>
              <w:t xml:space="preserve">60–79 (Medium)</w:t>
            </w:r>
          </w:p>
        </w:tc>
        <w:tc>
          <w:tcPr>
            <w:tcW w:type="dxa" w:w="756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Models partially agree, some feature gaps. Prediction shown with hedging language: 'Likely to rise'.</w:t>
            </w:r>
          </w:p>
        </w:tc>
      </w:tr>
      <w:tr>
        <w:tc>
          <w:tcPr>
            <w:tcW w:type="dxa" w:w="1800"/>
            <w:tcBorders>
              <w:top w:val="single" w:color="BFC9CA" w:sz="1"/>
              <w:left w:val="single" w:color="BFC9CA" w:sz="1"/>
              <w:bottom w:val="single" w:color="BFC9CA" w:sz="1"/>
              <w:right w:val="single" w:color="BFC9CA" w:sz="1"/>
            </w:tcBorders>
            <w:shd w:fill="D5F5E3" w:val="clear"/>
            <w:tcMar>
              <w:top w:type="dxa" w:w="100"/>
              <w:left w:type="dxa" w:w="140"/>
              <w:bottom w:type="dxa" w:w="100"/>
              <w:right w:type="dxa" w:w="140"/>
            </w:tcMar>
          </w:tcPr>
          <w:p>
            <w:r>
              <w:rPr>
                <w:rFonts w:ascii="Arial" w:cs="Arial" w:eastAsia="Arial" w:hAnsi="Arial"/>
                <w:b/>
                <w:bCs/>
                <w:color w:val="1A5632"/>
                <w:sz w:val="20"/>
                <w:szCs w:val="20"/>
              </w:rPr>
              <w:t xml:space="preserve">40–59 (Low)</w:t>
            </w:r>
          </w:p>
        </w:tc>
        <w:tc>
          <w:tcPr>
            <w:tcW w:type="dxa" w:w="756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Models diverge significantly, data gaps present. Range shown, no directional recommendation.</w:t>
            </w:r>
          </w:p>
        </w:tc>
      </w:tr>
      <w:tr>
        <w:tc>
          <w:tcPr>
            <w:tcW w:type="dxa" w:w="180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b/>
                <w:bCs/>
                <w:color w:val="1A5632"/>
                <w:sz w:val="20"/>
                <w:szCs w:val="20"/>
              </w:rPr>
              <w:t xml:space="preserve">&lt; 40 (Uncertain)</w:t>
            </w:r>
          </w:p>
        </w:tc>
        <w:tc>
          <w:tcPr>
            <w:tcW w:type="dxa" w:w="756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Insufficient data or market shock detected. Alert issued: 'Market conditions unusual. Watch closely.'</w:t>
            </w:r>
          </w:p>
        </w:tc>
      </w:tr>
    </w:tbl>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5.3 Uncertainty Estimation</w:t>
      </w:r>
    </w:p>
    <w:p>
      <w:pPr>
        <w:spacing w:before="60" w:after="100"/>
      </w:pPr>
      <w:r>
        <w:rPr>
          <w:rFonts w:ascii="Arial" w:cs="Arial" w:eastAsia="Arial" w:hAnsi="Arial"/>
          <w:color w:val="333333"/>
          <w:sz w:val="22"/>
          <w:szCs w:val="22"/>
        </w:rPr>
        <w:t xml:space="preserve">KrishiMind uses Conformal Prediction techniques to generate statistically valid prediction intervals without requiring distributional assumptions. For each horizon, the system maintains a calibration dataset of recent predictions vs. actuals. The conformal score determines the interval width such that 90% of actual prices fall within the displayed range — giving farmers a statistically honest uncertainty band.</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24"/>
              <w:bottom w:val="single" w:color="27AE60" w:sz="4"/>
              <w:right w:val="single" w:color="BFC9CA" w:sz="1"/>
            </w:tcBorders>
            <w:shd w:fill="D5F5E3" w:val="clear"/>
            <w:tcMar>
              <w:top w:type="dxa" w:w="100"/>
              <w:left w:type="dxa" w:w="140"/>
              <w:bottom w:type="dxa" w:w="100"/>
              <w:right w:type="dxa" w:w="140"/>
            </w:tcMar>
          </w:tcPr>
          <w:p>
            <w:pPr>
              <w:spacing w:before="40" w:after="40"/>
            </w:pPr>
            <w:r>
              <w:rPr>
                <w:rFonts w:ascii="Arial" w:cs="Arial" w:eastAsia="Arial" w:hAnsi="Arial"/>
                <w:b/>
                <w:bCs/>
                <w:color w:val="1A5632"/>
                <w:sz w:val="22"/>
                <w:szCs w:val="22"/>
              </w:rPr>
              <w:t xml:space="preserve">Farmer-Friendly Output: </w:t>
            </w:r>
            <w:r>
              <w:rPr>
                <w:rFonts w:ascii="Arial" w:cs="Arial" w:eastAsia="Arial" w:hAnsi="Arial"/>
                <w:color w:val="333333"/>
                <w:sz w:val="22"/>
                <w:szCs w:val="22"/>
              </w:rPr>
              <w:t xml:space="preserve">Instead of confidence intervals, farmers see: 'Price expected between ₹4,200–₹4,600 per quintal next week. Most likely: ₹4,380. Confidence: High (82%).'</w:t>
            </w:r>
          </w:p>
        </w:tc>
      </w:tr>
    </w:tbl>
    <w:p>
      <w:pPr>
        <w:spacing w:before="0" w:after="80"/>
      </w:pPr>
      <w:r>
        <w:rPr>
          <w:rFonts w:ascii="Arial" w:cs="Arial" w:eastAsia="Arial" w:hAnsi="Arial"/>
        </w:rPr>
        <w:t xml:space="preserve"/>
      </w:r>
    </w:p>
    <w:p>
      <w:pPr>
        <w:pBdr>
          <w:bottom w:val="single" w:color="27AE60" w:sz="6" w:space="1"/>
        </w:pBdr>
        <w:spacing w:before="200" w:after="200"/>
      </w:pPr>
      <w:r>
        <w:rPr>
          <w:rFonts w:ascii="Arial" w:cs="Arial" w:eastAsia="Arial" w:hAnsi="Arial"/>
        </w:rPr>
        <w:t xml:space="preserve"/>
      </w:r>
    </w:p>
    <w:p>
      <w:pPr>
        <w:pStyle w:val="Heading1"/>
        <w:spacing w:before="320" w:after="160"/>
      </w:pPr>
      <w:r>
        <w:rPr>
          <w:rFonts w:ascii="Arial" w:cs="Arial" w:eastAsia="Arial" w:hAnsi="Arial"/>
          <w:b/>
          <w:bCs/>
          <w:color w:val="1A5632"/>
          <w:sz w:val="32"/>
          <w:szCs w:val="32"/>
        </w:rPr>
        <w:t xml:space="preserve">6. National Dashboard Design</w:t>
      </w:r>
    </w:p>
    <w:p>
      <w:pPr>
        <w:pStyle w:val="Heading2"/>
        <w:spacing w:before="240" w:after="120"/>
      </w:pPr>
      <w:r>
        <w:rPr>
          <w:rFonts w:ascii="Arial" w:cs="Arial" w:eastAsia="Arial" w:hAnsi="Arial"/>
          <w:b/>
          <w:bCs/>
          <w:color w:val="1B2A4A"/>
          <w:sz w:val="26"/>
          <w:szCs w:val="26"/>
        </w:rPr>
        <w:t xml:space="preserve">6.1 Dashboard Personas and Features</w:t>
      </w:r>
    </w:p>
    <w:p>
      <w:pPr>
        <w:spacing w:before="0" w:after="80"/>
      </w:pPr>
      <w:r>
        <w:rPr>
          <w:rFonts w:ascii="Arial" w:cs="Arial" w:eastAsia="Arial" w:hAnsi="Arial"/>
        </w:rPr>
        <w:t xml:space="preserve"/>
      </w:r>
    </w:p>
    <w:p>
      <w:pPr>
        <w:pStyle w:val="Heading3"/>
        <w:spacing w:before="180" w:after="80"/>
      </w:pPr>
      <w:r>
        <w:rPr>
          <w:rFonts w:ascii="Arial" w:cs="Arial" w:eastAsia="Arial" w:hAnsi="Arial"/>
          <w:b/>
          <w:bCs/>
          <w:color w:val="2C3E50"/>
          <w:sz w:val="24"/>
          <w:szCs w:val="24"/>
        </w:rPr>
        <w:t xml:space="preserve">Farmer Dashboard (Simplified, Mobile-First)</w:t>
      </w:r>
    </w:p>
    <w:p>
      <w:pPr>
        <w:pStyle w:val="ListParagraph"/>
        <w:numPr>
          <w:ilvl w:val="0"/>
          <w:numId w:val="2"/>
        </w:numPr>
        <w:spacing w:before="40" w:after="60"/>
      </w:pPr>
      <w:r>
        <w:rPr>
          <w:rFonts w:ascii="Arial" w:cs="Arial" w:eastAsia="Arial" w:hAnsi="Arial"/>
          <w:color w:val="333333"/>
          <w:sz w:val="22"/>
          <w:szCs w:val="22"/>
        </w:rPr>
        <w:t xml:space="preserve">Crop price today vs. 7-day prediction with directional arrow</w:t>
      </w:r>
    </w:p>
    <w:p>
      <w:pPr>
        <w:pStyle w:val="ListParagraph"/>
        <w:numPr>
          <w:ilvl w:val="0"/>
          <w:numId w:val="2"/>
        </w:numPr>
        <w:spacing w:before="40" w:after="60"/>
      </w:pPr>
      <w:r>
        <w:rPr>
          <w:rFonts w:ascii="Arial" w:cs="Arial" w:eastAsia="Arial" w:hAnsi="Arial"/>
          <w:color w:val="333333"/>
          <w:sz w:val="22"/>
          <w:szCs w:val="22"/>
        </w:rPr>
        <w:t xml:space="preserve">Nearest 5 mandis ranked by today's price — colour-coded (green = best rate)</w:t>
      </w:r>
    </w:p>
    <w:p>
      <w:pPr>
        <w:pStyle w:val="ListParagraph"/>
        <w:numPr>
          <w:ilvl w:val="0"/>
          <w:numId w:val="2"/>
        </w:numPr>
        <w:spacing w:before="40" w:after="60"/>
      </w:pPr>
      <w:r>
        <w:rPr>
          <w:rFonts w:ascii="Arial" w:cs="Arial" w:eastAsia="Arial" w:hAnsi="Arial"/>
          <w:color w:val="333333"/>
          <w:sz w:val="22"/>
          <w:szCs w:val="22"/>
        </w:rPr>
        <w:t xml:space="preserve">'Sell Now' or 'Wait X Days' recommendation with plain-language reasoning</w:t>
      </w:r>
    </w:p>
    <w:p>
      <w:pPr>
        <w:pStyle w:val="ListParagraph"/>
        <w:numPr>
          <w:ilvl w:val="0"/>
          <w:numId w:val="2"/>
        </w:numPr>
        <w:spacing w:before="40" w:after="60"/>
      </w:pPr>
      <w:r>
        <w:rPr>
          <w:rFonts w:ascii="Arial" w:cs="Arial" w:eastAsia="Arial" w:hAnsi="Arial"/>
          <w:color w:val="333333"/>
          <w:sz w:val="22"/>
          <w:szCs w:val="22"/>
        </w:rPr>
        <w:t xml:space="preserve">Storage advisory: estimated price gain vs. storage cost if holding 2-4 weeks</w:t>
      </w:r>
    </w:p>
    <w:p>
      <w:pPr>
        <w:pStyle w:val="ListParagraph"/>
        <w:numPr>
          <w:ilvl w:val="0"/>
          <w:numId w:val="2"/>
        </w:numPr>
        <w:spacing w:before="40" w:after="60"/>
      </w:pPr>
      <w:r>
        <w:rPr>
          <w:rFonts w:ascii="Arial" w:cs="Arial" w:eastAsia="Arial" w:hAnsi="Arial"/>
          <w:color w:val="333333"/>
          <w:sz w:val="22"/>
          <w:szCs w:val="22"/>
        </w:rPr>
        <w:t xml:space="preserve">Weather impact alert: 'Heavy rainfall forecast may delay arrivals → prices likely rise'</w:t>
      </w:r>
    </w:p>
    <w:p>
      <w:pPr>
        <w:pStyle w:val="ListParagraph"/>
        <w:numPr>
          <w:ilvl w:val="0"/>
          <w:numId w:val="2"/>
        </w:numPr>
        <w:spacing w:before="40" w:after="60"/>
      </w:pPr>
      <w:r>
        <w:rPr>
          <w:rFonts w:ascii="Arial" w:cs="Arial" w:eastAsia="Arial" w:hAnsi="Arial"/>
          <w:color w:val="333333"/>
          <w:sz w:val="22"/>
          <w:szCs w:val="22"/>
        </w:rPr>
        <w:t xml:space="preserve">SMS-ready summary in Hindi, Chhattisgarhi, Marathi, Tamil, Punjabi, and 10 other languages</w:t>
      </w:r>
    </w:p>
    <w:p>
      <w:pPr>
        <w:spacing w:before="0" w:after="80"/>
      </w:pPr>
      <w:r>
        <w:rPr>
          <w:rFonts w:ascii="Arial" w:cs="Arial" w:eastAsia="Arial" w:hAnsi="Arial"/>
        </w:rPr>
        <w:t xml:space="preserve"/>
      </w:r>
    </w:p>
    <w:p>
      <w:pPr>
        <w:pStyle w:val="Heading3"/>
        <w:spacing w:before="180" w:after="80"/>
      </w:pPr>
      <w:r>
        <w:rPr>
          <w:rFonts w:ascii="Arial" w:cs="Arial" w:eastAsia="Arial" w:hAnsi="Arial"/>
          <w:b/>
          <w:bCs/>
          <w:color w:val="2C3E50"/>
          <w:sz w:val="24"/>
          <w:szCs w:val="24"/>
        </w:rPr>
        <w:t xml:space="preserve">Trader / Commission Agent Dashboard</w:t>
      </w:r>
    </w:p>
    <w:p>
      <w:pPr>
        <w:pStyle w:val="ListParagraph"/>
        <w:numPr>
          <w:ilvl w:val="0"/>
          <w:numId w:val="2"/>
        </w:numPr>
        <w:spacing w:before="40" w:after="60"/>
      </w:pPr>
      <w:r>
        <w:rPr>
          <w:rFonts w:ascii="Arial" w:cs="Arial" w:eastAsia="Arial" w:hAnsi="Arial"/>
          <w:color w:val="333333"/>
          <w:sz w:val="22"/>
          <w:szCs w:val="22"/>
        </w:rPr>
        <w:t xml:space="preserve">Real-time mandi price heat map across all districts of a state</w:t>
      </w:r>
    </w:p>
    <w:p>
      <w:pPr>
        <w:pStyle w:val="ListParagraph"/>
        <w:numPr>
          <w:ilvl w:val="0"/>
          <w:numId w:val="2"/>
        </w:numPr>
        <w:spacing w:before="40" w:after="60"/>
      </w:pPr>
      <w:r>
        <w:rPr>
          <w:rFonts w:ascii="Arial" w:cs="Arial" w:eastAsia="Arial" w:hAnsi="Arial"/>
          <w:color w:val="333333"/>
          <w:sz w:val="22"/>
          <w:szCs w:val="22"/>
        </w:rPr>
        <w:t xml:space="preserve">Arrival volume trends — spot which mandis are receiving heavy supply (price pressure)</w:t>
      </w:r>
    </w:p>
    <w:p>
      <w:pPr>
        <w:pStyle w:val="ListParagraph"/>
        <w:numPr>
          <w:ilvl w:val="0"/>
          <w:numId w:val="2"/>
        </w:numPr>
        <w:spacing w:before="40" w:after="60"/>
      </w:pPr>
      <w:r>
        <w:rPr>
          <w:rFonts w:ascii="Arial" w:cs="Arial" w:eastAsia="Arial" w:hAnsi="Arial"/>
          <w:color w:val="333333"/>
          <w:sz w:val="22"/>
          <w:szCs w:val="22"/>
        </w:rPr>
        <w:t xml:space="preserve">7-day price forecast with confidence bands for up to 10 mandis simultaneously</w:t>
      </w:r>
    </w:p>
    <w:p>
      <w:pPr>
        <w:pStyle w:val="ListParagraph"/>
        <w:numPr>
          <w:ilvl w:val="0"/>
          <w:numId w:val="2"/>
        </w:numPr>
        <w:spacing w:before="40" w:after="60"/>
      </w:pPr>
      <w:r>
        <w:rPr>
          <w:rFonts w:ascii="Arial" w:cs="Arial" w:eastAsia="Arial" w:hAnsi="Arial"/>
          <w:color w:val="333333"/>
          <w:sz w:val="22"/>
          <w:szCs w:val="22"/>
        </w:rPr>
        <w:t xml:space="preserve">Arbitrage alerts: mandis with &gt;₹200/quintal price differential flagged automatically</w:t>
      </w:r>
    </w:p>
    <w:p>
      <w:pPr>
        <w:pStyle w:val="ListParagraph"/>
        <w:numPr>
          <w:ilvl w:val="0"/>
          <w:numId w:val="2"/>
        </w:numPr>
        <w:spacing w:before="40" w:after="60"/>
      </w:pPr>
      <w:r>
        <w:rPr>
          <w:rFonts w:ascii="Arial" w:cs="Arial" w:eastAsia="Arial" w:hAnsi="Arial"/>
          <w:color w:val="333333"/>
          <w:sz w:val="22"/>
          <w:szCs w:val="22"/>
        </w:rPr>
        <w:t xml:space="preserve">Commodity-specific news feed: export policy changes, MSP announcements, weather warnings</w:t>
      </w:r>
    </w:p>
    <w:p>
      <w:pPr>
        <w:pStyle w:val="ListParagraph"/>
        <w:numPr>
          <w:ilvl w:val="0"/>
          <w:numId w:val="2"/>
        </w:numPr>
        <w:spacing w:before="40" w:after="60"/>
      </w:pPr>
      <w:r>
        <w:rPr>
          <w:rFonts w:ascii="Arial" w:cs="Arial" w:eastAsia="Arial" w:hAnsi="Arial"/>
          <w:color w:val="333333"/>
          <w:sz w:val="22"/>
          <w:szCs w:val="22"/>
        </w:rPr>
        <w:t xml:space="preserve">Historical price data download (CSV/Excel) for any mandi-commodity-date range</w:t>
      </w:r>
    </w:p>
    <w:p>
      <w:pPr>
        <w:spacing w:before="0" w:after="80"/>
      </w:pPr>
      <w:r>
        <w:rPr>
          <w:rFonts w:ascii="Arial" w:cs="Arial" w:eastAsia="Arial" w:hAnsi="Arial"/>
        </w:rPr>
        <w:t xml:space="preserve"/>
      </w:r>
    </w:p>
    <w:p>
      <w:pPr>
        <w:pStyle w:val="Heading3"/>
        <w:spacing w:before="180" w:after="80"/>
      </w:pPr>
      <w:r>
        <w:rPr>
          <w:rFonts w:ascii="Arial" w:cs="Arial" w:eastAsia="Arial" w:hAnsi="Arial"/>
          <w:b/>
          <w:bCs/>
          <w:color w:val="2C3E50"/>
          <w:sz w:val="24"/>
          <w:szCs w:val="24"/>
        </w:rPr>
        <w:t xml:space="preserve">Government / Policy Maker Portal</w:t>
      </w:r>
    </w:p>
    <w:p>
      <w:pPr>
        <w:pStyle w:val="ListParagraph"/>
        <w:numPr>
          <w:ilvl w:val="0"/>
          <w:numId w:val="2"/>
        </w:numPr>
        <w:spacing w:before="40" w:after="60"/>
      </w:pPr>
      <w:r>
        <w:rPr>
          <w:rFonts w:ascii="Arial" w:cs="Arial" w:eastAsia="Arial" w:hAnsi="Arial"/>
          <w:color w:val="333333"/>
          <w:sz w:val="22"/>
          <w:szCs w:val="22"/>
        </w:rPr>
        <w:t xml:space="preserve">National commodity price map with predicted price stress zones (drought/surplus)</w:t>
      </w:r>
    </w:p>
    <w:p>
      <w:pPr>
        <w:pStyle w:val="ListParagraph"/>
        <w:numPr>
          <w:ilvl w:val="0"/>
          <w:numId w:val="2"/>
        </w:numPr>
        <w:spacing w:before="40" w:after="60"/>
      </w:pPr>
      <w:r>
        <w:rPr>
          <w:rFonts w:ascii="Arial" w:cs="Arial" w:eastAsia="Arial" w:hAnsi="Arial"/>
          <w:color w:val="333333"/>
          <w:sz w:val="22"/>
          <w:szCs w:val="22"/>
        </w:rPr>
        <w:t xml:space="preserve">MSP adequacy analysis: % of mandis where market price has fallen below MSP</w:t>
      </w:r>
    </w:p>
    <w:p>
      <w:pPr>
        <w:pStyle w:val="ListParagraph"/>
        <w:numPr>
          <w:ilvl w:val="0"/>
          <w:numId w:val="2"/>
        </w:numPr>
        <w:spacing w:before="40" w:after="60"/>
      </w:pPr>
      <w:r>
        <w:rPr>
          <w:rFonts w:ascii="Arial" w:cs="Arial" w:eastAsia="Arial" w:hAnsi="Arial"/>
          <w:color w:val="333333"/>
          <w:sz w:val="22"/>
          <w:szCs w:val="22"/>
        </w:rPr>
        <w:t xml:space="preserve">Procurement planning tool: AI-suggested optimal procurement volumes and timings</w:t>
      </w:r>
    </w:p>
    <w:p>
      <w:pPr>
        <w:pStyle w:val="ListParagraph"/>
        <w:numPr>
          <w:ilvl w:val="0"/>
          <w:numId w:val="2"/>
        </w:numPr>
        <w:spacing w:before="40" w:after="60"/>
      </w:pPr>
      <w:r>
        <w:rPr>
          <w:rFonts w:ascii="Arial" w:cs="Arial" w:eastAsia="Arial" w:hAnsi="Arial"/>
          <w:color w:val="333333"/>
          <w:sz w:val="22"/>
          <w:szCs w:val="22"/>
        </w:rPr>
        <w:t xml:space="preserve">State-by-state crop health index (from satellite NDVI data)</w:t>
      </w:r>
    </w:p>
    <w:p>
      <w:pPr>
        <w:pStyle w:val="ListParagraph"/>
        <w:numPr>
          <w:ilvl w:val="0"/>
          <w:numId w:val="2"/>
        </w:numPr>
        <w:spacing w:before="40" w:after="60"/>
      </w:pPr>
      <w:r>
        <w:rPr>
          <w:rFonts w:ascii="Arial" w:cs="Arial" w:eastAsia="Arial" w:hAnsi="Arial"/>
          <w:color w:val="333333"/>
          <w:sz w:val="22"/>
          <w:szCs w:val="22"/>
        </w:rPr>
        <w:t xml:space="preserve">Price inflation early warning: commodities predicted to spike &gt;15% within 30 days</w:t>
      </w:r>
    </w:p>
    <w:p>
      <w:pPr>
        <w:pStyle w:val="ListParagraph"/>
        <w:numPr>
          <w:ilvl w:val="0"/>
          <w:numId w:val="2"/>
        </w:numPr>
        <w:spacing w:before="40" w:after="60"/>
      </w:pPr>
      <w:r>
        <w:rPr>
          <w:rFonts w:ascii="Arial" w:cs="Arial" w:eastAsia="Arial" w:hAnsi="Arial"/>
          <w:color w:val="333333"/>
          <w:sz w:val="22"/>
          <w:szCs w:val="22"/>
        </w:rPr>
        <w:t xml:space="preserve">Export-import balance dashboard with demand pressure indicators</w:t>
      </w:r>
    </w:p>
    <w:p>
      <w:pPr>
        <w:spacing w:before="0" w:after="80"/>
      </w:pPr>
      <w:r>
        <w:rPr>
          <w:rFonts w:ascii="Arial" w:cs="Arial" w:eastAsia="Arial" w:hAnsi="Arial"/>
        </w:rPr>
        <w:t xml:space="preserve"/>
      </w:r>
    </w:p>
    <w:p>
      <w:pPr>
        <w:pStyle w:val="Heading3"/>
        <w:spacing w:before="180" w:after="80"/>
      </w:pPr>
      <w:r>
        <w:rPr>
          <w:rFonts w:ascii="Arial" w:cs="Arial" w:eastAsia="Arial" w:hAnsi="Arial"/>
          <w:b/>
          <w:bCs/>
          <w:color w:val="2C3E50"/>
          <w:sz w:val="24"/>
          <w:szCs w:val="24"/>
        </w:rPr>
        <w:t xml:space="preserve">Exporter Dashboard</w:t>
      </w:r>
    </w:p>
    <w:p>
      <w:pPr>
        <w:pStyle w:val="ListParagraph"/>
        <w:numPr>
          <w:ilvl w:val="0"/>
          <w:numId w:val="2"/>
        </w:numPr>
        <w:spacing w:before="40" w:after="60"/>
      </w:pPr>
      <w:r>
        <w:rPr>
          <w:rFonts w:ascii="Arial" w:cs="Arial" w:eastAsia="Arial" w:hAnsi="Arial"/>
          <w:color w:val="333333"/>
          <w:sz w:val="22"/>
          <w:szCs w:val="22"/>
        </w:rPr>
        <w:t xml:space="preserve">FOB Kandla / Nhava Sheva price prediction for key commodities</w:t>
      </w:r>
    </w:p>
    <w:p>
      <w:pPr>
        <w:pStyle w:val="ListParagraph"/>
        <w:numPr>
          <w:ilvl w:val="0"/>
          <w:numId w:val="2"/>
        </w:numPr>
        <w:spacing w:before="40" w:after="60"/>
      </w:pPr>
      <w:r>
        <w:rPr>
          <w:rFonts w:ascii="Arial" w:cs="Arial" w:eastAsia="Arial" w:hAnsi="Arial"/>
          <w:color w:val="333333"/>
          <w:sz w:val="22"/>
          <w:szCs w:val="22"/>
        </w:rPr>
        <w:t xml:space="preserve">Domestic mandi price vs. global parity comparison (CBOT, Bursa Malaysia)</w:t>
      </w:r>
    </w:p>
    <w:p>
      <w:pPr>
        <w:pStyle w:val="ListParagraph"/>
        <w:numPr>
          <w:ilvl w:val="0"/>
          <w:numId w:val="2"/>
        </w:numPr>
        <w:spacing w:before="40" w:after="60"/>
      </w:pPr>
      <w:r>
        <w:rPr>
          <w:rFonts w:ascii="Arial" w:cs="Arial" w:eastAsia="Arial" w:hAnsi="Arial"/>
          <w:color w:val="333333"/>
          <w:sz w:val="22"/>
          <w:szCs w:val="22"/>
        </w:rPr>
        <w:t xml:space="preserve">Optimal sourcing mandi map: which mandis offer best procurement price vs. logistics cost</w:t>
      </w:r>
    </w:p>
    <w:p>
      <w:pPr>
        <w:pStyle w:val="ListParagraph"/>
        <w:numPr>
          <w:ilvl w:val="0"/>
          <w:numId w:val="2"/>
        </w:numPr>
        <w:spacing w:before="40" w:after="60"/>
      </w:pPr>
      <w:r>
        <w:rPr>
          <w:rFonts w:ascii="Arial" w:cs="Arial" w:eastAsia="Arial" w:hAnsi="Arial"/>
          <w:color w:val="333333"/>
          <w:sz w:val="22"/>
          <w:szCs w:val="22"/>
        </w:rPr>
        <w:t xml:space="preserve">APEDA compliance tracker: phytosanitary certificate status, consignment tracking</w:t>
      </w:r>
    </w:p>
    <w:p>
      <w:pPr>
        <w:pStyle w:val="ListParagraph"/>
        <w:numPr>
          <w:ilvl w:val="0"/>
          <w:numId w:val="2"/>
        </w:numPr>
        <w:spacing w:before="40" w:after="60"/>
      </w:pPr>
      <w:r>
        <w:rPr>
          <w:rFonts w:ascii="Arial" w:cs="Arial" w:eastAsia="Arial" w:hAnsi="Arial"/>
          <w:color w:val="333333"/>
          <w:sz w:val="22"/>
          <w:szCs w:val="22"/>
        </w:rPr>
        <w:t xml:space="preserve">Bangladesh, UAE, Sri Lanka, Africa market price feed with shipment window recommendation</w:t>
      </w:r>
    </w:p>
    <w:p>
      <w:pPr>
        <w:spacing w:before="0" w:after="80"/>
      </w:pPr>
      <w:r>
        <w:rPr>
          <w:rFonts w:ascii="Arial" w:cs="Arial" w:eastAsia="Arial" w:hAnsi="Arial"/>
        </w:rPr>
        <w:t xml:space="preserve"/>
      </w:r>
    </w:p>
    <w:p>
      <w:pPr>
        <w:pBdr>
          <w:bottom w:val="single" w:color="27AE60" w:sz="6" w:space="1"/>
        </w:pBdr>
        <w:spacing w:before="200" w:after="200"/>
      </w:pPr>
      <w:r>
        <w:rPr>
          <w:rFonts w:ascii="Arial" w:cs="Arial" w:eastAsia="Arial" w:hAnsi="Arial"/>
        </w:rPr>
        <w:t xml:space="preserve"/>
      </w:r>
    </w:p>
    <w:p>
      <w:pPr>
        <w:pStyle w:val="Heading1"/>
        <w:spacing w:before="320" w:after="160"/>
      </w:pPr>
      <w:r>
        <w:rPr>
          <w:rFonts w:ascii="Arial" w:cs="Arial" w:eastAsia="Arial" w:hAnsi="Arial"/>
          <w:b/>
          <w:bCs/>
          <w:color w:val="1A5632"/>
          <w:sz w:val="32"/>
          <w:szCs w:val="32"/>
        </w:rPr>
        <w:t xml:space="preserve">7. Mobile App for Farmers</w:t>
      </w:r>
    </w:p>
    <w:p>
      <w:pPr>
        <w:pStyle w:val="Heading2"/>
        <w:spacing w:before="240" w:after="120"/>
      </w:pPr>
      <w:r>
        <w:rPr>
          <w:rFonts w:ascii="Arial" w:cs="Arial" w:eastAsia="Arial" w:hAnsi="Arial"/>
          <w:b/>
          <w:bCs/>
          <w:color w:val="1B2A4A"/>
          <w:sz w:val="26"/>
          <w:szCs w:val="26"/>
        </w:rPr>
        <w:t xml:space="preserve">7.1 App Design Principles</w:t>
      </w:r>
    </w:p>
    <w:p>
      <w:pPr>
        <w:spacing w:before="60" w:after="100"/>
      </w:pPr>
      <w:r>
        <w:rPr>
          <w:rFonts w:ascii="Arial" w:cs="Arial" w:eastAsia="Arial" w:hAnsi="Arial"/>
          <w:color w:val="333333"/>
          <w:sz w:val="22"/>
          <w:szCs w:val="22"/>
        </w:rPr>
        <w:t xml:space="preserve">The farmer app (KrishiMind Kisan App) is designed for sub-₹8,000 Android smartphones with intermittent 2G/3G connectivity. The entire core experience must work offline (last synced data) and resync automatically when connectivity is restored. UI is icon-driven with minimal text, and voice navigation is supported in regional languages.</w:t>
      </w:r>
    </w:p>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7.2 Key User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User Action</w:t>
            </w:r>
          </w:p>
        </w:tc>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What App Shows</w:t>
            </w:r>
          </w:p>
        </w:tc>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Design Notes</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Home</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Open app</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My Crops (set once), Today's Price Summary, 1 big CTA button</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Max 3 taps to reach any critical info</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Crop Select</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Tap crop card</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Mustard / Wheat / Soybean / Rice / Maize / Cotton / Dal — illustrated icons</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Icon + local name, no English</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Mandi Select</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Choose nearby mandi</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GPS-sorted list of mandis within 100 km, with today's price shown</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Auto-detect nearest 3 mandis</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Price View</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View mandi price</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Today ₹XXXX | Tomorrow: ↑ ₹XXXX | 7-Day Chart | Sell Now / Wait button</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Big font, green/red colour coding</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Sell Advice</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Tap 'Should I Sell?'</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AI recommendation: 'WAIT 5 days. Price likely to rise ₹180–₹240/quintal.' with reason</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Confidence badge shown</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SMS Alert Setup</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Set price alert</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Alert me when Mustard crosses ₹5,500/quintal — enter number, confirm OTP</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Works on basic phones too</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Language Toggle</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Change language</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Hindi / English / Marathi / Punjabi / Gujarati / Tamil / Telugu / Odia / Bengali</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Persisted locally</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Voice Mode</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Tap mic icon</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'Aaj sarson ka bhav kya hai?' → App speaks: 'Aaj Durg mandi mein sarson ₹5,240 hai'</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Speech recognition via Google ML Kit</w:t>
            </w:r>
          </w:p>
        </w:tc>
      </w:tr>
    </w:tbl>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7.3 Offline-First Architecture</w:t>
      </w:r>
    </w:p>
    <w:p>
      <w:pPr>
        <w:spacing w:before="60" w:after="100"/>
      </w:pPr>
      <w:r>
        <w:rPr>
          <w:rFonts w:ascii="Arial" w:cs="Arial" w:eastAsia="Arial" w:hAnsi="Arial"/>
          <w:color w:val="333333"/>
          <w:sz w:val="22"/>
          <w:szCs w:val="22"/>
        </w:rPr>
        <w:t xml:space="preserve">The app uses a local SQLite database to cache the last 7 days of price data for the farmer's selected crops and mandis. A background sync service runs every 2 hours when connected. Critical alerts (price crash warnings, government procurement announcements) are delivered via Firebase Cloud Messaging (FCM) with a 48-hour TTL, ensuring delivery even when connectivity is intermittent.</w:t>
      </w:r>
    </w:p>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7.4 SMS &amp; IVR Fallback (Feature Phone Support)</w:t>
      </w:r>
    </w:p>
    <w:p>
      <w:pPr>
        <w:spacing w:before="60" w:after="100"/>
      </w:pPr>
      <w:r>
        <w:rPr>
          <w:rFonts w:ascii="Arial" w:cs="Arial" w:eastAsia="Arial" w:hAnsi="Arial"/>
          <w:color w:val="333333"/>
          <w:sz w:val="22"/>
          <w:szCs w:val="22"/>
        </w:rPr>
        <w:t xml:space="preserve">For farmers without smartphones, the platform provides an SMS service and a toll-free IVR number. Farmers SMS a crop code and mandi name to a shortcode (e.g., 'SARSON DURG' to 56070) and receive a 3-line price prediction in Hindi. The IVR system reads out prices and recommendations in the farmer's language, covering ~40 million feature phone users in rural India.</w:t>
      </w:r>
    </w:p>
    <w:p>
      <w:pPr>
        <w:spacing w:before="0" w:after="80"/>
      </w:pPr>
      <w:r>
        <w:rPr>
          <w:rFonts w:ascii="Arial" w:cs="Arial" w:eastAsia="Arial" w:hAnsi="Arial"/>
        </w:rPr>
        <w:t xml:space="preserve"/>
      </w:r>
    </w:p>
    <w:p>
      <w:pPr>
        <w:pBdr>
          <w:bottom w:val="single" w:color="27AE60" w:sz="6" w:space="1"/>
        </w:pBdr>
        <w:spacing w:before="200" w:after="200"/>
      </w:pPr>
      <w:r>
        <w:rPr>
          <w:rFonts w:ascii="Arial" w:cs="Arial" w:eastAsia="Arial" w:hAnsi="Arial"/>
        </w:rPr>
        <w:t xml:space="preserve"/>
      </w:r>
    </w:p>
    <w:p>
      <w:pPr>
        <w:pStyle w:val="Heading1"/>
        <w:spacing w:before="320" w:after="160"/>
      </w:pPr>
      <w:r>
        <w:rPr>
          <w:rFonts w:ascii="Arial" w:cs="Arial" w:eastAsia="Arial" w:hAnsi="Arial"/>
          <w:b/>
          <w:bCs/>
          <w:color w:val="1A5632"/>
          <w:sz w:val="32"/>
          <w:szCs w:val="32"/>
        </w:rPr>
        <w:t xml:space="preserve">8. Smart Alerts System</w:t>
      </w:r>
    </w:p>
    <w:p>
      <w:pPr>
        <w:pStyle w:val="Heading2"/>
        <w:spacing w:before="240" w:after="120"/>
      </w:pPr>
      <w:r>
        <w:rPr>
          <w:rFonts w:ascii="Arial" w:cs="Arial" w:eastAsia="Arial" w:hAnsi="Arial"/>
          <w:b/>
          <w:bCs/>
          <w:color w:val="1B2A4A"/>
          <w:sz w:val="26"/>
          <w:szCs w:val="26"/>
        </w:rPr>
        <w:t xml:space="preserve">8.1 Alert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Alert Type</w:t>
            </w:r>
          </w:p>
        </w:tc>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Trigger Condition</w:t>
            </w:r>
          </w:p>
        </w:tc>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Delivery Channel</w:t>
            </w:r>
          </w:p>
        </w:tc>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Price Rise Alert</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7-day forecast shows &gt;8% predicted increase from current price</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App push + SMS</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Medium</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Price Crash Warning</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7-day forecast shows &gt;10% predicted decline OR arrivals spike &gt;30%</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App push + SMS + IVR call</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HIGH — immediate</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Better Mandi Alert</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 mandi within 50 km is offering &gt;₹200/quintal more for farmer's crop</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App push + SMS</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Medium</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Harvest Window Alert</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Seasonal model identifies optimal selling window opening in next 14 days</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App push + SMS</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Medium</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MSP Floor Alert</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Market price has fallen within 5% of MSP — procurement centre info shared</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App push + SMS + IVR</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HIGH</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Weather Impact Alert</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IMD forecasts heavy rain/heatwave in growing district affecting next harvest</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App push + SMS</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Medium</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Export Demand Surge</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Export quota utilization &lt;30% and global price premium &gt;15% — good time to link with exporter</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Dashboard + App</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Low</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Storage Advisory</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30-day forecast suggests holding stock is profitable net of storage cost</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App push + Dashboard</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Low</w:t>
            </w:r>
          </w:p>
        </w:tc>
      </w:tr>
    </w:tbl>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8.2 Alert Delivery Infrastructure</w:t>
      </w:r>
    </w:p>
    <w:p>
      <w:pPr>
        <w:spacing w:before="60" w:after="100"/>
      </w:pPr>
      <w:r>
        <w:rPr>
          <w:rFonts w:ascii="Arial" w:cs="Arial" w:eastAsia="Arial" w:hAnsi="Arial"/>
          <w:color w:val="333333"/>
          <w:sz w:val="22"/>
          <w:szCs w:val="22"/>
        </w:rPr>
        <w:t xml:space="preserve">Alerts are generated by a real-time rules engine (Apache Flink) that continuously evaluates prediction outputs against user-configured thresholds and system-level trigger conditions. The delivery stack uses:</w:t>
      </w:r>
    </w:p>
    <w:p>
      <w:pPr>
        <w:pStyle w:val="ListParagraph"/>
        <w:numPr>
          <w:ilvl w:val="0"/>
          <w:numId w:val="2"/>
        </w:numPr>
        <w:spacing w:before="40" w:after="60"/>
      </w:pPr>
      <w:r>
        <w:rPr>
          <w:rFonts w:ascii="Arial" w:cs="Arial" w:eastAsia="Arial" w:hAnsi="Arial"/>
          <w:color w:val="333333"/>
          <w:sz w:val="22"/>
          <w:szCs w:val="22"/>
        </w:rPr>
        <w:t xml:space="preserve">Firebase Cloud Messaging (FCM) for Android app push notifications</w:t>
      </w:r>
    </w:p>
    <w:p>
      <w:pPr>
        <w:pStyle w:val="ListParagraph"/>
        <w:numPr>
          <w:ilvl w:val="0"/>
          <w:numId w:val="2"/>
        </w:numPr>
        <w:spacing w:before="40" w:after="60"/>
      </w:pPr>
      <w:r>
        <w:rPr>
          <w:rFonts w:ascii="Arial" w:cs="Arial" w:eastAsia="Arial" w:hAnsi="Arial"/>
          <w:color w:val="333333"/>
          <w:sz w:val="22"/>
          <w:szCs w:val="22"/>
        </w:rPr>
        <w:t xml:space="preserve">Twilio / Karix for SMS delivery with DLT registration compliance (TRAI regulations)</w:t>
      </w:r>
    </w:p>
    <w:p>
      <w:pPr>
        <w:pStyle w:val="ListParagraph"/>
        <w:numPr>
          <w:ilvl w:val="0"/>
          <w:numId w:val="2"/>
        </w:numPr>
        <w:spacing w:before="40" w:after="60"/>
      </w:pPr>
      <w:r>
        <w:rPr>
          <w:rFonts w:ascii="Arial" w:cs="Arial" w:eastAsia="Arial" w:hAnsi="Arial"/>
          <w:color w:val="333333"/>
          <w:sz w:val="22"/>
          <w:szCs w:val="22"/>
        </w:rPr>
        <w:t xml:space="preserve">AWS SNS for fan-out to multiple channels simultaneously</w:t>
      </w:r>
    </w:p>
    <w:p>
      <w:pPr>
        <w:pStyle w:val="ListParagraph"/>
        <w:numPr>
          <w:ilvl w:val="0"/>
          <w:numId w:val="2"/>
        </w:numPr>
        <w:spacing w:before="40" w:after="60"/>
      </w:pPr>
      <w:r>
        <w:rPr>
          <w:rFonts w:ascii="Arial" w:cs="Arial" w:eastAsia="Arial" w:hAnsi="Arial"/>
          <w:color w:val="333333"/>
          <w:sz w:val="22"/>
          <w:szCs w:val="22"/>
        </w:rPr>
        <w:t xml:space="preserve">IVR integration via Exotel for voice calls to registered farmer phone numbers</w:t>
      </w:r>
    </w:p>
    <w:p>
      <w:pPr>
        <w:pStyle w:val="ListParagraph"/>
        <w:numPr>
          <w:ilvl w:val="0"/>
          <w:numId w:val="2"/>
        </w:numPr>
        <w:spacing w:before="40" w:after="60"/>
      </w:pPr>
      <w:r>
        <w:rPr>
          <w:rFonts w:ascii="Arial" w:cs="Arial" w:eastAsia="Arial" w:hAnsi="Arial"/>
          <w:color w:val="333333"/>
          <w:sz w:val="22"/>
          <w:szCs w:val="22"/>
        </w:rPr>
        <w:t xml:space="preserve">WhatsApp Business API for cooperative-level group alerts (FPOs, SHGs)</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24"/>
              <w:bottom w:val="single" w:color="27AE60" w:sz="4"/>
              <w:right w:val="single" w:color="BFC9CA" w:sz="1"/>
            </w:tcBorders>
            <w:shd w:fill="D5F5E3" w:val="clear"/>
            <w:tcMar>
              <w:top w:type="dxa" w:w="100"/>
              <w:left w:type="dxa" w:w="140"/>
              <w:bottom w:type="dxa" w:w="100"/>
              <w:right w:type="dxa" w:w="140"/>
            </w:tcMar>
          </w:tcPr>
          <w:p>
            <w:pPr>
              <w:spacing w:before="40" w:after="40"/>
            </w:pPr>
            <w:r>
              <w:rPr>
                <w:rFonts w:ascii="Arial" w:cs="Arial" w:eastAsia="Arial" w:hAnsi="Arial"/>
                <w:b/>
                <w:bCs/>
                <w:color w:val="1A5632"/>
                <w:sz w:val="22"/>
                <w:szCs w:val="22"/>
              </w:rPr>
              <w:t xml:space="preserve">Personalisation: </w:t>
            </w:r>
            <w:r>
              <w:rPr>
                <w:rFonts w:ascii="Arial" w:cs="Arial" w:eastAsia="Arial" w:hAnsi="Arial"/>
                <w:color w:val="333333"/>
                <w:sz w:val="22"/>
                <w:szCs w:val="22"/>
              </w:rPr>
              <w:t xml:space="preserve">Alerts are hyper-personalised — a farmer growing mustard in Rajasthan will only receive mustard alerts for Rajasthan/MP mandis within their configured radius, preventing alert fatigue.</w:t>
            </w:r>
          </w:p>
        </w:tc>
      </w:tr>
    </w:tbl>
    <w:p>
      <w:pPr>
        <w:spacing w:before="0" w:after="80"/>
      </w:pPr>
      <w:r>
        <w:rPr>
          <w:rFonts w:ascii="Arial" w:cs="Arial" w:eastAsia="Arial" w:hAnsi="Arial"/>
        </w:rPr>
        <w:t xml:space="preserve"/>
      </w:r>
    </w:p>
    <w:p>
      <w:pPr>
        <w:pBdr>
          <w:bottom w:val="single" w:color="27AE60" w:sz="6" w:space="1"/>
        </w:pBdr>
        <w:spacing w:before="200" w:after="200"/>
      </w:pPr>
      <w:r>
        <w:rPr>
          <w:rFonts w:ascii="Arial" w:cs="Arial" w:eastAsia="Arial" w:hAnsi="Arial"/>
        </w:rPr>
        <w:t xml:space="preserve"/>
      </w:r>
    </w:p>
    <w:p>
      <w:pPr>
        <w:pStyle w:val="Heading1"/>
        <w:spacing w:before="320" w:after="160"/>
      </w:pPr>
      <w:r>
        <w:rPr>
          <w:rFonts w:ascii="Arial" w:cs="Arial" w:eastAsia="Arial" w:hAnsi="Arial"/>
          <w:b/>
          <w:bCs/>
          <w:color w:val="1A5632"/>
          <w:sz w:val="32"/>
          <w:szCs w:val="32"/>
        </w:rPr>
        <w:t xml:space="preserve">9. Monetisation Strategy</w:t>
      </w:r>
    </w:p>
    <w:p>
      <w:pPr>
        <w:pStyle w:val="Heading2"/>
        <w:spacing w:before="240" w:after="120"/>
      </w:pPr>
      <w:r>
        <w:rPr>
          <w:rFonts w:ascii="Arial" w:cs="Arial" w:eastAsia="Arial" w:hAnsi="Arial"/>
          <w:b/>
          <w:bCs/>
          <w:color w:val="1B2A4A"/>
          <w:sz w:val="26"/>
          <w:szCs w:val="26"/>
        </w:rPr>
        <w:t xml:space="preserve">9.1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Revenue Stream</w:t>
            </w:r>
          </w:p>
        </w:tc>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Target Customer</w:t>
            </w:r>
          </w:p>
        </w:tc>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Pricing Model</w:t>
            </w:r>
          </w:p>
        </w:tc>
        <w:tc>
          <w:tcPr>
            <w:tcW w:type="dxa" w:w="234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Est. Annual Revenue Potential</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Farmer Premium Subscription</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Progressive farmers, FPOs</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₹99–₹299/year per farmer. Unlocks 30-day forecasts, storage advisory, export price.</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150M TAM → 5M subscribers = ₹75–250 Cr</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Trader Analytics Plan</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Commission agents, aggregators, traders</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₹2,999–₹9,999/month. Multi-mandi dashboard, API access, arbitrage alerts, historical data.</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500K traders → 50K subscribers = ₹180–600 Cr</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Exporter Intelligence Suite</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APEDA-registered exporters, trading houses</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₹25,000–₹1,50,000/year. FOB price forecasts, global market link, compliance tracker.</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10,000 exporters → 2,000 subscribers = ₹50–300 Cr</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Government / NAFED Data Services</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State govts, NAFED, FCI, Agri Ministry</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Annual SaaS contract: ₹50L–₹5Cr per state. Procurement intelligence, price monitoring, MSP analysis.</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28 states → 15 contracts = ₹75–500 Cr</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Commodity Exchange Partnership</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MCX, NCDEX</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Data licensing + API revenue share. AI-generated forward price reference.</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₹10–50 Cr annually</w:t>
            </w:r>
          </w:p>
        </w:tc>
      </w:tr>
      <w:tr>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Agri-Fintech Integration</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Kisan credit card lenders, crop insurance cos.</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API-based pricing data for credit risk and insurance premium calculation.</w:t>
            </w:r>
          </w:p>
        </w:tc>
        <w:tc>
          <w:tcPr>
            <w:tcW w:type="dxa" w:w="234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₹20–80 Cr annually</w:t>
            </w:r>
          </w:p>
        </w:tc>
      </w:tr>
      <w:tr>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Branded Analytics Reports</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Seed companies, fertiliser cos., agri-input cos.</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Monthly commodity outlook reports, advertising, co-branded alerts.</w:t>
            </w:r>
          </w:p>
        </w:tc>
        <w:tc>
          <w:tcPr>
            <w:tcW w:type="dxa" w:w="234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₹5–20 Cr annually</w:t>
            </w:r>
          </w:p>
        </w:tc>
      </w:tr>
    </w:tbl>
    <w:p>
      <w:pPr>
        <w:spacing w:before="0" w:after="80"/>
      </w:pPr>
      <w:r>
        <w:rPr>
          <w:rFonts w:ascii="Arial" w:cs="Arial" w:eastAsia="Arial" w:hAnsi="Arial"/>
        </w:rPr>
        <w:t xml:space="preserve"/>
      </w:r>
    </w:p>
    <w:p>
      <w:pPr>
        <w:spacing w:before="60" w:after="100"/>
      </w:pPr>
      <w:r>
        <w:rPr>
          <w:rFonts w:ascii="Arial" w:cs="Arial" w:eastAsia="Arial" w:hAnsi="Arial"/>
          <w:color w:val="333333"/>
          <w:sz w:val="22"/>
          <w:szCs w:val="22"/>
        </w:rPr>
        <w:t xml:space="preserve">The platform is expected to reach operational break-even by end of Year 2 (post-Phase 2 launch), driven primarily by government contracts and trader subscriptions, while farmer subscriptions scale through Year 3 via PM-KISAN-linked subsidy partnerships.</w:t>
      </w:r>
    </w:p>
    <w:p>
      <w:pPr>
        <w:spacing w:before="0" w:after="80"/>
      </w:pPr>
      <w:r>
        <w:rPr>
          <w:rFonts w:ascii="Arial" w:cs="Arial" w:eastAsia="Arial" w:hAnsi="Arial"/>
        </w:rPr>
        <w:t xml:space="preserve"/>
      </w:r>
    </w:p>
    <w:p>
      <w:pPr>
        <w:pBdr>
          <w:bottom w:val="single" w:color="27AE60" w:sz="6" w:space="1"/>
        </w:pBdr>
        <w:spacing w:before="200" w:after="200"/>
      </w:pPr>
      <w:r>
        <w:rPr>
          <w:rFonts w:ascii="Arial" w:cs="Arial" w:eastAsia="Arial" w:hAnsi="Arial"/>
        </w:rPr>
        <w:t xml:space="preserve"/>
      </w:r>
    </w:p>
    <w:p>
      <w:pPr>
        <w:pStyle w:val="Heading1"/>
        <w:spacing w:before="320" w:after="160"/>
      </w:pPr>
      <w:r>
        <w:rPr>
          <w:rFonts w:ascii="Arial" w:cs="Arial" w:eastAsia="Arial" w:hAnsi="Arial"/>
          <w:b/>
          <w:bCs/>
          <w:color w:val="1A5632"/>
          <w:sz w:val="32"/>
          <w:szCs w:val="32"/>
        </w:rPr>
        <w:t xml:space="preserve">10. Technology Stack</w:t>
      </w:r>
    </w:p>
    <w:p>
      <w:pPr>
        <w:pStyle w:val="Heading2"/>
        <w:spacing w:before="240" w:after="120"/>
      </w:pPr>
      <w:r>
        <w:rPr>
          <w:rFonts w:ascii="Arial" w:cs="Arial" w:eastAsia="Arial" w:hAnsi="Arial"/>
          <w:b/>
          <w:bCs/>
          <w:color w:val="1B2A4A"/>
          <w:sz w:val="26"/>
          <w:szCs w:val="26"/>
        </w:rPr>
        <w:t xml:space="preserve">10.1 Full Stack Overview</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12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Technology Choices</w:t>
            </w:r>
          </w:p>
        </w:tc>
        <w:tc>
          <w:tcPr>
            <w:tcW w:type="dxa" w:w="312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Backend API</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FastAPI (Python 3.11) + Uvicorn + Gunicorn</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Async, high-performance, native ML integration, OpenAPI docs auto-generated</w:t>
            </w:r>
          </w:p>
        </w:tc>
      </w:tr>
      <w:tr>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Frontend Web Dashboard</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React 18 + TypeScript + Recharts + Leaflet.js + TailwindCSS</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Component-based, rich charting, interactive mandi maps, responsive</w:t>
            </w:r>
          </w:p>
        </w:tc>
      </w:tr>
      <w:tr>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Mobile App</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React Native (Android-first) + Redux Toolkit + SQLite (offline cache)</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Single codebase for Android/iOS, offline-first, low APK size target &lt;25MB</w:t>
            </w:r>
          </w:p>
        </w:tc>
      </w:tr>
      <w:tr>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AI / ML Framework</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PyTorch (LSTM/TFT) + Scikit-learn + XGBoost + Facebook Prophet + Optuna (hyperparameter tuning)</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Best-in-class models, active community, GPU training support</w:t>
            </w:r>
          </w:p>
        </w:tc>
      </w:tr>
      <w:tr>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ML Platform</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MLflow (experiment tracking) + Feast (feature store) + Kubeflow Pipelines (training orchestration)</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End-to-end ML lifecycle, reproducible experiments, automated retraining</w:t>
            </w:r>
          </w:p>
        </w:tc>
      </w:tr>
      <w:tr>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Data Pipeline</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Apache Kafka (streaming) + Apache Spark 3.x (batch) + Apache Airflow 2.x (orchestration)</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Proven at scale, handles both real-time and batch workloads</w:t>
            </w:r>
          </w:p>
        </w:tc>
      </w:tr>
      <w:tr>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Databases</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TimescaleDB (price time-series) + PostgreSQL (relational master data) + Redis (cache) + MongoDB (document store for alerts)</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Purpose-fit databases for each data type</w:t>
            </w:r>
          </w:p>
        </w:tc>
      </w:tr>
      <w:tr>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Data Lake</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AWS S3 + Apache Iceberg (table format) + AWS Glue (cataloguing)</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Scalable, cost-effective, supports time-travel queries</w:t>
            </w:r>
          </w:p>
        </w:tc>
      </w:tr>
      <w:tr>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Cloud Infrastructure</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AWS primary (Mumbai ap-south-1 region) — EKS (Kubernetes), EC2, RDS, MSK, SageMaker for model serving</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Mature, full-featured, India region with data residency compliance</w:t>
            </w:r>
          </w:p>
        </w:tc>
      </w:tr>
      <w:tr>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AI Serving (Inference)</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AWS SageMaker Endpoints + Triton Inference Server + FastAPI prediction microservice</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Low-latency model serving, auto-scaling, A/B testing support</w:t>
            </w:r>
          </w:p>
        </w:tc>
      </w:tr>
      <w:tr>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Monitoring</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Prometheus + Grafana + AWS CloudWatch + Evidently AI (ML model monitoring / drift detection)</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Full observability stack, ML-specific drift alerts</w:t>
            </w:r>
          </w:p>
        </w:tc>
      </w:tr>
      <w:tr>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CDN / Edge</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AWS CloudFront + Cloudflare Workers for edge caching of mandi price data</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Sub-100ms API response for mobile app users across India</w:t>
            </w:r>
          </w:p>
        </w:tc>
      </w:tr>
      <w:tr>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SMS / IVR</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Twilio / Karix (SMS) + Exotel (IVR/Voice)</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India-compliant, TRAI DLT registered, regional language support</w:t>
            </w:r>
          </w:p>
        </w:tc>
      </w:tr>
      <w:tr>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Search &amp; Discovery</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Elasticsearch + OpenSearch (mandi/commodity search in app)</w:t>
            </w:r>
          </w:p>
        </w:tc>
        <w:tc>
          <w:tcPr>
            <w:tcW w:type="dxa" w:w="312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Full-text search with fuzzy matching for regional mandi names</w:t>
            </w:r>
          </w:p>
        </w:tc>
      </w:tr>
      <w:tr>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Security</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AWS WAF + Cognito (auth) + KMS (encryption at rest) + VPC with private subnets + VAPT annually</w:t>
            </w:r>
          </w:p>
        </w:tc>
        <w:tc>
          <w:tcPr>
            <w:tcW w:type="dxa" w:w="312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Government-grade security, data residency in India</w:t>
            </w:r>
          </w:p>
        </w:tc>
      </w:tr>
    </w:tbl>
    <w:p>
      <w:pPr>
        <w:spacing w:before="0" w:after="80"/>
      </w:pPr>
      <w:r>
        <w:rPr>
          <w:rFonts w:ascii="Arial" w:cs="Arial" w:eastAsia="Arial" w:hAnsi="Arial"/>
        </w:rPr>
        <w:t xml:space="preserve"/>
      </w:r>
    </w:p>
    <w:p>
      <w:pPr>
        <w:pBdr>
          <w:bottom w:val="single" w:color="27AE60" w:sz="6" w:space="1"/>
        </w:pBdr>
        <w:spacing w:before="200" w:after="200"/>
      </w:pPr>
      <w:r>
        <w:rPr>
          <w:rFonts w:ascii="Arial" w:cs="Arial" w:eastAsia="Arial" w:hAnsi="Arial"/>
        </w:rPr>
        <w:t xml:space="preserve"/>
      </w:r>
    </w:p>
    <w:p>
      <w:pPr>
        <w:pStyle w:val="Heading1"/>
        <w:spacing w:before="320" w:after="160"/>
      </w:pPr>
      <w:r>
        <w:rPr>
          <w:rFonts w:ascii="Arial" w:cs="Arial" w:eastAsia="Arial" w:hAnsi="Arial"/>
          <w:b/>
          <w:bCs/>
          <w:color w:val="1A5632"/>
          <w:sz w:val="32"/>
          <w:szCs w:val="32"/>
        </w:rPr>
        <w:t xml:space="preserve">11. National Scalability Plan</w:t>
      </w:r>
    </w:p>
    <w:p>
      <w:pPr>
        <w:pStyle w:val="Heading2"/>
        <w:spacing w:before="240" w:after="120"/>
      </w:pPr>
      <w:r>
        <w:rPr>
          <w:rFonts w:ascii="Arial" w:cs="Arial" w:eastAsia="Arial" w:hAnsi="Arial"/>
          <w:b/>
          <w:bCs/>
          <w:color w:val="1B2A4A"/>
          <w:sz w:val="26"/>
          <w:szCs w:val="26"/>
        </w:rPr>
        <w:t xml:space="preserve">11.1 Scale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9CA" w:sz="1"/>
              <w:left w:val="single" w:color="BFC9CA" w:sz="1"/>
              <w:bottom w:val="single" w:color="BFC9CA" w:sz="1"/>
              <w:right w:val="single" w:color="BFC9CA" w:sz="1"/>
            </w:tcBorders>
            <w:shd w:fill="D5F5E3" w:val="clear"/>
            <w:tcMar>
              <w:top w:type="dxa" w:w="100"/>
              <w:left w:type="dxa" w:w="140"/>
              <w:bottom w:type="dxa" w:w="100"/>
              <w:right w:type="dxa" w:w="140"/>
            </w:tcMar>
          </w:tcPr>
          <w:p>
            <w:r>
              <w:rPr>
                <w:rFonts w:ascii="Arial" w:cs="Arial" w:eastAsia="Arial" w:hAnsi="Arial"/>
                <w:b/>
                <w:bCs/>
                <w:color w:val="1A5632"/>
                <w:sz w:val="20"/>
                <w:szCs w:val="20"/>
              </w:rPr>
              <w:t xml:space="preserve">Registered Farmers</w:t>
            </w:r>
          </w:p>
        </w:tc>
        <w:tc>
          <w:tcPr>
            <w:tcW w:type="dxa" w:w="656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150 million (15 crore) — phased over 5 years</w:t>
            </w:r>
          </w:p>
        </w:tc>
      </w:tr>
      <w:tr>
        <w:tc>
          <w:tcPr>
            <w:tcW w:type="dxa" w:w="280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b/>
                <w:bCs/>
                <w:color w:val="1A5632"/>
                <w:sz w:val="20"/>
                <w:szCs w:val="20"/>
              </w:rPr>
              <w:t xml:space="preserve">Active Mandis</w:t>
            </w:r>
          </w:p>
        </w:tc>
        <w:tc>
          <w:tcPr>
            <w:tcW w:type="dxa" w:w="656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7,240+ APMC mandis across 28 states and 8 UTs</w:t>
            </w:r>
          </w:p>
        </w:tc>
      </w:tr>
      <w:tr>
        <w:tc>
          <w:tcPr>
            <w:tcW w:type="dxa" w:w="2800"/>
            <w:tcBorders>
              <w:top w:val="single" w:color="BFC9CA" w:sz="1"/>
              <w:left w:val="single" w:color="BFC9CA" w:sz="1"/>
              <w:bottom w:val="single" w:color="BFC9CA" w:sz="1"/>
              <w:right w:val="single" w:color="BFC9CA" w:sz="1"/>
            </w:tcBorders>
            <w:shd w:fill="D5F5E3" w:val="clear"/>
            <w:tcMar>
              <w:top w:type="dxa" w:w="100"/>
              <w:left w:type="dxa" w:w="140"/>
              <w:bottom w:type="dxa" w:w="100"/>
              <w:right w:type="dxa" w:w="140"/>
            </w:tcMar>
          </w:tcPr>
          <w:p>
            <w:r>
              <w:rPr>
                <w:rFonts w:ascii="Arial" w:cs="Arial" w:eastAsia="Arial" w:hAnsi="Arial"/>
                <w:b/>
                <w:bCs/>
                <w:color w:val="1A5632"/>
                <w:sz w:val="20"/>
                <w:szCs w:val="20"/>
              </w:rPr>
              <w:t xml:space="preserve">Crops Covered</w:t>
            </w:r>
          </w:p>
        </w:tc>
        <w:tc>
          <w:tcPr>
            <w:tcW w:type="dxa" w:w="656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200+ commodities (Phase 3), starting with 7 major crops</w:t>
            </w:r>
          </w:p>
        </w:tc>
      </w:tr>
      <w:tr>
        <w:tc>
          <w:tcPr>
            <w:tcW w:type="dxa" w:w="280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b/>
                <w:bCs/>
                <w:color w:val="1A5632"/>
                <w:sz w:val="20"/>
                <w:szCs w:val="20"/>
              </w:rPr>
              <w:t xml:space="preserve">Daily Price Predictions</w:t>
            </w:r>
          </w:p>
        </w:tc>
        <w:tc>
          <w:tcPr>
            <w:tcW w:type="dxa" w:w="656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~50 million forecast points per day (all mandis × crops × horizons)</w:t>
            </w:r>
          </w:p>
        </w:tc>
      </w:tr>
      <w:tr>
        <w:tc>
          <w:tcPr>
            <w:tcW w:type="dxa" w:w="2800"/>
            <w:tcBorders>
              <w:top w:val="single" w:color="BFC9CA" w:sz="1"/>
              <w:left w:val="single" w:color="BFC9CA" w:sz="1"/>
              <w:bottom w:val="single" w:color="BFC9CA" w:sz="1"/>
              <w:right w:val="single" w:color="BFC9CA" w:sz="1"/>
            </w:tcBorders>
            <w:shd w:fill="D5F5E3" w:val="clear"/>
            <w:tcMar>
              <w:top w:type="dxa" w:w="100"/>
              <w:left w:type="dxa" w:w="140"/>
              <w:bottom w:type="dxa" w:w="100"/>
              <w:right w:type="dxa" w:w="140"/>
            </w:tcMar>
          </w:tcPr>
          <w:p>
            <w:r>
              <w:rPr>
                <w:rFonts w:ascii="Arial" w:cs="Arial" w:eastAsia="Arial" w:hAnsi="Arial"/>
                <w:b/>
                <w:bCs/>
                <w:color w:val="1A5632"/>
                <w:sz w:val="20"/>
                <w:szCs w:val="20"/>
              </w:rPr>
              <w:t xml:space="preserve">Peak API Load</w:t>
            </w:r>
          </w:p>
        </w:tc>
        <w:tc>
          <w:tcPr>
            <w:tcW w:type="dxa" w:w="656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10 million API requests/day at harvest season peaks</w:t>
            </w:r>
          </w:p>
        </w:tc>
      </w:tr>
      <w:tr>
        <w:tc>
          <w:tcPr>
            <w:tcW w:type="dxa" w:w="280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b/>
                <w:bCs/>
                <w:color w:val="1A5632"/>
                <w:sz w:val="20"/>
                <w:szCs w:val="20"/>
              </w:rPr>
              <w:t xml:space="preserve">SMS Alerts/Day</w:t>
            </w:r>
          </w:p>
        </w:tc>
        <w:tc>
          <w:tcPr>
            <w:tcW w:type="dxa" w:w="6560"/>
            <w:tcBorders>
              <w:top w:val="single" w:color="BFC9CA" w:sz="1"/>
              <w:left w:val="single" w:color="BFC9CA" w:sz="1"/>
              <w:bottom w:val="single" w:color="BFC9CA" w:sz="1"/>
              <w:right w:val="single" w:color="BFC9CA"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5–20 million SMS during high-alert periods (price crash, procurement)</w:t>
            </w:r>
          </w:p>
        </w:tc>
      </w:tr>
      <w:tr>
        <w:tc>
          <w:tcPr>
            <w:tcW w:type="dxa" w:w="2800"/>
            <w:tcBorders>
              <w:top w:val="single" w:color="BFC9CA" w:sz="1"/>
              <w:left w:val="single" w:color="BFC9CA" w:sz="1"/>
              <w:bottom w:val="single" w:color="BFC9CA" w:sz="1"/>
              <w:right w:val="single" w:color="BFC9CA" w:sz="1"/>
            </w:tcBorders>
            <w:shd w:fill="D5F5E3" w:val="clear"/>
            <w:tcMar>
              <w:top w:type="dxa" w:w="100"/>
              <w:left w:type="dxa" w:w="140"/>
              <w:bottom w:type="dxa" w:w="100"/>
              <w:right w:type="dxa" w:w="140"/>
            </w:tcMar>
          </w:tcPr>
          <w:p>
            <w:r>
              <w:rPr>
                <w:rFonts w:ascii="Arial" w:cs="Arial" w:eastAsia="Arial" w:hAnsi="Arial"/>
                <w:b/>
                <w:bCs/>
                <w:color w:val="1A5632"/>
                <w:sz w:val="20"/>
                <w:szCs w:val="20"/>
              </w:rPr>
              <w:t xml:space="preserve">Data Ingested/Day</w:t>
            </w:r>
          </w:p>
        </w:tc>
        <w:tc>
          <w:tcPr>
            <w:tcW w:type="dxa" w:w="656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~500 GB raw data (mandi prices, weather, satellite, trade data)</w:t>
            </w:r>
          </w:p>
        </w:tc>
      </w:tr>
    </w:tbl>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11.2 Architecture for Scale</w:t>
      </w:r>
    </w:p>
    <w:p>
      <w:pPr>
        <w:spacing w:before="60" w:after="100"/>
      </w:pPr>
      <w:r>
        <w:rPr>
          <w:rFonts w:ascii="Arial" w:cs="Arial" w:eastAsia="Arial" w:hAnsi="Arial"/>
          <w:color w:val="333333"/>
          <w:sz w:val="22"/>
          <w:szCs w:val="22"/>
        </w:rPr>
        <w:t xml:space="preserve">KrishiMind uses a microservices architecture deployed on Kubernetes (EKS), enabling each service to scale independently. The prediction service runs on auto-scaling GPU-enabled node groups (G4dn instances on AWS). During harvest season peaks (October-November for Kharif, March-April for Rabi), the cluster auto-scales from a base of 20 nodes to 200+ nodes within minutes via Kubernetes HPA and Karpenter.</w:t>
      </w:r>
    </w:p>
    <w:p>
      <w:pPr>
        <w:spacing w:before="0" w:after="80"/>
      </w:pPr>
      <w:r>
        <w:rPr>
          <w:rFonts w:ascii="Arial" w:cs="Arial" w:eastAsia="Arial" w:hAnsi="Arial"/>
        </w:rPr>
        <w:t xml:space="preserve"/>
      </w:r>
    </w:p>
    <w:p>
      <w:pPr>
        <w:pStyle w:val="ListParagraph"/>
        <w:numPr>
          <w:ilvl w:val="0"/>
          <w:numId w:val="2"/>
        </w:numPr>
        <w:spacing w:before="40" w:after="60"/>
      </w:pPr>
      <w:r>
        <w:rPr>
          <w:rFonts w:ascii="Arial" w:cs="Arial" w:eastAsia="Arial" w:hAnsi="Arial"/>
          <w:color w:val="333333"/>
          <w:sz w:val="22"/>
          <w:szCs w:val="22"/>
        </w:rPr>
        <w:t xml:space="preserve">API Gateway: Kong API Gateway handles rate limiting, auth, routing. Target: 50,000 requests/second at peak.</w:t>
      </w:r>
    </w:p>
    <w:p>
      <w:pPr>
        <w:pStyle w:val="ListParagraph"/>
        <w:numPr>
          <w:ilvl w:val="0"/>
          <w:numId w:val="2"/>
        </w:numPr>
        <w:spacing w:before="40" w:after="60"/>
      </w:pPr>
      <w:r>
        <w:rPr>
          <w:rFonts w:ascii="Arial" w:cs="Arial" w:eastAsia="Arial" w:hAnsi="Arial"/>
          <w:color w:val="333333"/>
          <w:sz w:val="22"/>
          <w:szCs w:val="22"/>
        </w:rPr>
        <w:t xml:space="preserve">Database sharding: TimescaleDB partitioned by state and crop. Each partition served by a dedicated read replica.</w:t>
      </w:r>
    </w:p>
    <w:p>
      <w:pPr>
        <w:pStyle w:val="ListParagraph"/>
        <w:numPr>
          <w:ilvl w:val="0"/>
          <w:numId w:val="2"/>
        </w:numPr>
        <w:spacing w:before="40" w:after="60"/>
      </w:pPr>
      <w:r>
        <w:rPr>
          <w:rFonts w:ascii="Arial" w:cs="Arial" w:eastAsia="Arial" w:hAnsi="Arial"/>
          <w:color w:val="333333"/>
          <w:sz w:val="22"/>
          <w:szCs w:val="22"/>
        </w:rPr>
        <w:t xml:space="preserve">CDN caching: Daily mandi price data cached at CloudFront edge with 15-minute TTL. Reduces DB load by ~80%.</w:t>
      </w:r>
    </w:p>
    <w:p>
      <w:pPr>
        <w:pStyle w:val="ListParagraph"/>
        <w:numPr>
          <w:ilvl w:val="0"/>
          <w:numId w:val="2"/>
        </w:numPr>
        <w:spacing w:before="40" w:after="60"/>
      </w:pPr>
      <w:r>
        <w:rPr>
          <w:rFonts w:ascii="Arial" w:cs="Arial" w:eastAsia="Arial" w:hAnsi="Arial"/>
          <w:color w:val="333333"/>
          <w:sz w:val="22"/>
          <w:szCs w:val="22"/>
        </w:rPr>
        <w:t xml:space="preserve">Model serving: Each crop model deployed as an independent SageMaker endpoint. Mustard model serves India-scale without contending with rice model.</w:t>
      </w:r>
    </w:p>
    <w:p>
      <w:pPr>
        <w:pStyle w:val="ListParagraph"/>
        <w:numPr>
          <w:ilvl w:val="0"/>
          <w:numId w:val="2"/>
        </w:numPr>
        <w:spacing w:before="40" w:after="60"/>
      </w:pPr>
      <w:r>
        <w:rPr>
          <w:rFonts w:ascii="Arial" w:cs="Arial" w:eastAsia="Arial" w:hAnsi="Arial"/>
          <w:color w:val="333333"/>
          <w:sz w:val="22"/>
          <w:szCs w:val="22"/>
        </w:rPr>
        <w:t xml:space="preserve">Multi-region: Primary in Mumbai (ap-south-1). DR in Hyderabad (ap-south-2). RTO &lt; 15 minutes.</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24"/>
              <w:bottom w:val="single" w:color="27AE60" w:sz="4"/>
              <w:right w:val="single" w:color="BFC9CA" w:sz="1"/>
            </w:tcBorders>
            <w:shd w:fill="D5F5E3" w:val="clear"/>
            <w:tcMar>
              <w:top w:type="dxa" w:w="100"/>
              <w:left w:type="dxa" w:w="140"/>
              <w:bottom w:type="dxa" w:w="100"/>
              <w:right w:type="dxa" w:w="140"/>
            </w:tcMar>
          </w:tcPr>
          <w:p>
            <w:pPr>
              <w:spacing w:before="40" w:after="40"/>
            </w:pPr>
            <w:r>
              <w:rPr>
                <w:rFonts w:ascii="Arial" w:cs="Arial" w:eastAsia="Arial" w:hAnsi="Arial"/>
                <w:b/>
                <w:bCs/>
                <w:color w:val="1A5632"/>
                <w:sz w:val="22"/>
                <w:szCs w:val="22"/>
              </w:rPr>
              <w:t xml:space="preserve">Cost at Scale: </w:t>
            </w:r>
            <w:r>
              <w:rPr>
                <w:rFonts w:ascii="Arial" w:cs="Arial" w:eastAsia="Arial" w:hAnsi="Arial"/>
                <w:color w:val="333333"/>
                <w:sz w:val="22"/>
                <w:szCs w:val="22"/>
              </w:rPr>
              <w:t xml:space="preserve">Estimated AWS infrastructure cost at full scale (150M users): ₹8–15 Cr/month. Unit economics improve as user base grows. Farmer subscription revenue alone covers infrastructure at 5M+ subscribers.</w:t>
            </w:r>
          </w:p>
        </w:tc>
      </w:tr>
    </w:tbl>
    <w:p>
      <w:pPr>
        <w:spacing w:before="0" w:after="80"/>
      </w:pPr>
      <w:r>
        <w:rPr>
          <w:rFonts w:ascii="Arial" w:cs="Arial" w:eastAsia="Arial" w:hAnsi="Arial"/>
        </w:rPr>
        <w:t xml:space="preserve"/>
      </w:r>
    </w:p>
    <w:p>
      <w:pPr>
        <w:pBdr>
          <w:bottom w:val="single" w:color="27AE60" w:sz="6" w:space="1"/>
        </w:pBdr>
        <w:spacing w:before="200" w:after="200"/>
      </w:pPr>
      <w:r>
        <w:rPr>
          <w:rFonts w:ascii="Arial" w:cs="Arial" w:eastAsia="Arial" w:hAnsi="Arial"/>
        </w:rPr>
        <w:t xml:space="preserve"/>
      </w:r>
    </w:p>
    <w:p>
      <w:pPr>
        <w:pStyle w:val="Heading1"/>
        <w:spacing w:before="320" w:after="160"/>
      </w:pPr>
      <w:r>
        <w:rPr>
          <w:rFonts w:ascii="Arial" w:cs="Arial" w:eastAsia="Arial" w:hAnsi="Arial"/>
          <w:b/>
          <w:bCs/>
          <w:color w:val="1A5632"/>
          <w:sz w:val="32"/>
          <w:szCs w:val="32"/>
        </w:rPr>
        <w:t xml:space="preserve">12. Implementation Roadmap</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5632" w:sz="1"/>
              <w:left w:val="single" w:color="1A5632" w:sz="1"/>
              <w:bottom w:val="single" w:color="1A5632" w:sz="1"/>
              <w:right w:val="single" w:color="1A5632" w:sz="1"/>
            </w:tcBorders>
            <w:shd w:fill="1A5632"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Phase 1</w:t>
            </w:r>
          </w:p>
          <w:p>
            <w:pPr>
              <w:jc w:val="center"/>
            </w:pPr>
            <w:r>
              <w:rPr>
                <w:rFonts w:ascii="Arial" w:cs="Arial" w:eastAsia="Arial" w:hAnsi="Arial"/>
                <w:color w:val="FFFFFF"/>
                <w:sz w:val="18"/>
                <w:szCs w:val="18"/>
              </w:rPr>
              <w:t xml:space="preserve">Months 1–8</w:t>
            </w:r>
          </w:p>
        </w:tc>
        <w:tc>
          <w:tcPr>
            <w:tcW w:type="dxa" w:w="756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pPr>
              <w:spacing w:before="40" w:after="60"/>
            </w:pPr>
            <w:r>
              <w:rPr>
                <w:rFonts w:ascii="Arial" w:cs="Arial" w:eastAsia="Arial" w:hAnsi="Arial"/>
                <w:b/>
                <w:bCs/>
                <w:color w:val="2C3E50"/>
                <w:sz w:val="24"/>
                <w:szCs w:val="24"/>
              </w:rPr>
              <w:t xml:space="preserve">MVP — 3 Crops, 3 States</w:t>
            </w:r>
          </w:p>
          <w:p>
            <w:pPr>
              <w:pStyle w:val="ListParagraph"/>
              <w:numPr>
                <w:ilvl w:val="0"/>
                <w:numId w:val="2"/>
              </w:numPr>
              <w:spacing w:before="30" w:after="30"/>
            </w:pPr>
            <w:r>
              <w:rPr>
                <w:rFonts w:ascii="Arial" w:cs="Arial" w:eastAsia="Arial" w:hAnsi="Arial"/>
                <w:color w:val="333333"/>
                <w:sz w:val="20"/>
                <w:szCs w:val="20"/>
              </w:rPr>
              <w:t xml:space="preserve">Set up cloud infrastructure (AWS Mumbai): VPC, EKS, RDS, S3, MSK</w:t>
            </w:r>
          </w:p>
          <w:p>
            <w:pPr>
              <w:pStyle w:val="ListParagraph"/>
              <w:numPr>
                <w:ilvl w:val="0"/>
                <w:numId w:val="2"/>
              </w:numPr>
              <w:spacing w:before="30" w:after="30"/>
            </w:pPr>
            <w:r>
              <w:rPr>
                <w:rFonts w:ascii="Arial" w:cs="Arial" w:eastAsia="Arial" w:hAnsi="Arial"/>
                <w:color w:val="333333"/>
                <w:sz w:val="20"/>
                <w:szCs w:val="20"/>
              </w:rPr>
              <w:t xml:space="preserve">Build AGMARKNET + eNAM data ingestion pipeline for Mustard, Wheat, Soybean</w:t>
            </w:r>
          </w:p>
          <w:p>
            <w:pPr>
              <w:pStyle w:val="ListParagraph"/>
              <w:numPr>
                <w:ilvl w:val="0"/>
                <w:numId w:val="2"/>
              </w:numPr>
              <w:spacing w:before="30" w:after="30"/>
            </w:pPr>
            <w:r>
              <w:rPr>
                <w:rFonts w:ascii="Arial" w:cs="Arial" w:eastAsia="Arial" w:hAnsi="Arial"/>
                <w:color w:val="333333"/>
                <w:sz w:val="20"/>
                <w:szCs w:val="20"/>
              </w:rPr>
              <w:t xml:space="preserve">Historical data backfill: 5 years of AGMARKNET data for Rajasthan, MP, UP mandis</w:t>
            </w:r>
          </w:p>
          <w:p>
            <w:pPr>
              <w:pStyle w:val="ListParagraph"/>
              <w:numPr>
                <w:ilvl w:val="0"/>
                <w:numId w:val="2"/>
              </w:numPr>
              <w:spacing w:before="30" w:after="30"/>
            </w:pPr>
            <w:r>
              <w:rPr>
                <w:rFonts w:ascii="Arial" w:cs="Arial" w:eastAsia="Arial" w:hAnsi="Arial"/>
                <w:color w:val="333333"/>
                <w:sz w:val="20"/>
                <w:szCs w:val="20"/>
              </w:rPr>
              <w:t xml:space="preserve">Train baseline XGBoost + Prophet models for 1-day and 7-day forecasts</w:t>
            </w:r>
          </w:p>
          <w:p>
            <w:pPr>
              <w:pStyle w:val="ListParagraph"/>
              <w:numPr>
                <w:ilvl w:val="0"/>
                <w:numId w:val="2"/>
              </w:numPr>
              <w:spacing w:before="30" w:after="30"/>
            </w:pPr>
            <w:r>
              <w:rPr>
                <w:rFonts w:ascii="Arial" w:cs="Arial" w:eastAsia="Arial" w:hAnsi="Arial"/>
                <w:color w:val="333333"/>
                <w:sz w:val="20"/>
                <w:szCs w:val="20"/>
              </w:rPr>
              <w:t xml:space="preserve">Build Airflow orchestration: daily ingestion, feature engineering, prediction batch</w:t>
            </w:r>
          </w:p>
          <w:p>
            <w:pPr>
              <w:pStyle w:val="ListParagraph"/>
              <w:numPr>
                <w:ilvl w:val="0"/>
                <w:numId w:val="2"/>
              </w:numPr>
              <w:spacing w:before="30" w:after="30"/>
            </w:pPr>
            <w:r>
              <w:rPr>
                <w:rFonts w:ascii="Arial" w:cs="Arial" w:eastAsia="Arial" w:hAnsi="Arial"/>
                <w:color w:val="333333"/>
                <w:sz w:val="20"/>
                <w:szCs w:val="20"/>
              </w:rPr>
              <w:t xml:space="preserve">Launch web dashboard v1: 3-state mandi map, price charts, 7-day forecast table</w:t>
            </w:r>
          </w:p>
          <w:p>
            <w:pPr>
              <w:pStyle w:val="ListParagraph"/>
              <w:numPr>
                <w:ilvl w:val="0"/>
                <w:numId w:val="2"/>
              </w:numPr>
              <w:spacing w:before="30" w:after="30"/>
            </w:pPr>
            <w:r>
              <w:rPr>
                <w:rFonts w:ascii="Arial" w:cs="Arial" w:eastAsia="Arial" w:hAnsi="Arial"/>
                <w:color w:val="333333"/>
                <w:sz w:val="20"/>
                <w:szCs w:val="20"/>
              </w:rPr>
              <w:t xml:space="preserve">Build Android app MVP: crop select, mandi select, price + prediction, SMS alert</w:t>
            </w:r>
          </w:p>
          <w:p>
            <w:pPr>
              <w:pStyle w:val="ListParagraph"/>
              <w:numPr>
                <w:ilvl w:val="0"/>
                <w:numId w:val="2"/>
              </w:numPr>
              <w:spacing w:before="30" w:after="30"/>
            </w:pPr>
            <w:r>
              <w:rPr>
                <w:rFonts w:ascii="Arial" w:cs="Arial" w:eastAsia="Arial" w:hAnsi="Arial"/>
                <w:color w:val="333333"/>
                <w:sz w:val="20"/>
                <w:szCs w:val="20"/>
              </w:rPr>
              <w:t xml:space="preserve">Deploy SMS alert system (Twilio) for top 100,000 pilot farmers in 3 states</w:t>
            </w:r>
          </w:p>
          <w:p>
            <w:pPr>
              <w:pStyle w:val="ListParagraph"/>
              <w:numPr>
                <w:ilvl w:val="0"/>
                <w:numId w:val="2"/>
              </w:numPr>
              <w:spacing w:before="30" w:after="30"/>
            </w:pPr>
            <w:r>
              <w:rPr>
                <w:rFonts w:ascii="Arial" w:cs="Arial" w:eastAsia="Arial" w:hAnsi="Arial"/>
                <w:color w:val="333333"/>
                <w:sz w:val="20"/>
                <w:szCs w:val="20"/>
              </w:rPr>
              <w:t xml:space="preserve">Government pilot: Share daily forecast report with 2 state agriculture departments</w:t>
            </w:r>
          </w:p>
          <w:p>
            <w:pPr>
              <w:pStyle w:val="ListParagraph"/>
              <w:numPr>
                <w:ilvl w:val="0"/>
                <w:numId w:val="2"/>
              </w:numPr>
              <w:spacing w:before="30" w:after="30"/>
            </w:pPr>
            <w:r>
              <w:rPr>
                <w:rFonts w:ascii="Arial" w:cs="Arial" w:eastAsia="Arial" w:hAnsi="Arial"/>
                <w:color w:val="333333"/>
                <w:sz w:val="20"/>
                <w:szCs w:val="20"/>
              </w:rPr>
              <w:t xml:space="preserve">Validate model accuracy: target MAPE &lt; 8% for 7-day horizon on pilot mandis</w:t>
            </w:r>
          </w:p>
        </w:tc>
      </w:tr>
    </w:tbl>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7AE60" w:sz="1"/>
              <w:left w:val="single" w:color="27AE60" w:sz="1"/>
              <w:bottom w:val="single" w:color="27AE60" w:sz="1"/>
              <w:right w:val="single" w:color="27AE60"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Phase 2</w:t>
            </w:r>
          </w:p>
          <w:p>
            <w:pPr>
              <w:jc w:val="center"/>
            </w:pPr>
            <w:r>
              <w:rPr>
                <w:rFonts w:ascii="Arial" w:cs="Arial" w:eastAsia="Arial" w:hAnsi="Arial"/>
                <w:color w:val="FFFFFF"/>
                <w:sz w:val="18"/>
                <w:szCs w:val="18"/>
              </w:rPr>
              <w:t xml:space="preserve">Months 9–18</w:t>
            </w:r>
          </w:p>
        </w:tc>
        <w:tc>
          <w:tcPr>
            <w:tcW w:type="dxa" w:w="756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pPr>
              <w:spacing w:before="40" w:after="60"/>
            </w:pPr>
            <w:r>
              <w:rPr>
                <w:rFonts w:ascii="Arial" w:cs="Arial" w:eastAsia="Arial" w:hAnsi="Arial"/>
                <w:b/>
                <w:bCs/>
                <w:color w:val="2C3E50"/>
                <w:sz w:val="24"/>
                <w:szCs w:val="24"/>
              </w:rPr>
              <w:t xml:space="preserve">Expansion — All 7 Crops, 15 States</w:t>
            </w:r>
          </w:p>
          <w:p>
            <w:pPr>
              <w:pStyle w:val="ListParagraph"/>
              <w:numPr>
                <w:ilvl w:val="0"/>
                <w:numId w:val="2"/>
              </w:numPr>
              <w:spacing w:before="30" w:after="30"/>
            </w:pPr>
            <w:r>
              <w:rPr>
                <w:rFonts w:ascii="Arial" w:cs="Arial" w:eastAsia="Arial" w:hAnsi="Arial"/>
                <w:color w:val="333333"/>
                <w:sz w:val="20"/>
                <w:szCs w:val="20"/>
              </w:rPr>
              <w:t xml:space="preserve">Expand data pipeline to all 7 target crops (Rice, Maize, Cotton, Pulses added)</w:t>
            </w:r>
          </w:p>
          <w:p>
            <w:pPr>
              <w:pStyle w:val="ListParagraph"/>
              <w:numPr>
                <w:ilvl w:val="0"/>
                <w:numId w:val="2"/>
              </w:numPr>
              <w:spacing w:before="30" w:after="30"/>
            </w:pPr>
            <w:r>
              <w:rPr>
                <w:rFonts w:ascii="Arial" w:cs="Arial" w:eastAsia="Arial" w:hAnsi="Arial"/>
                <w:color w:val="333333"/>
                <w:sz w:val="20"/>
                <w:szCs w:val="20"/>
              </w:rPr>
              <w:t xml:space="preserve">Onboard 15 states: Karnataka, Maharashtra, Gujarat, Punjab, Haryana, AP, Telangana + more</w:t>
            </w:r>
          </w:p>
          <w:p>
            <w:pPr>
              <w:pStyle w:val="ListParagraph"/>
              <w:numPr>
                <w:ilvl w:val="0"/>
                <w:numId w:val="2"/>
              </w:numPr>
              <w:spacing w:before="30" w:after="30"/>
            </w:pPr>
            <w:r>
              <w:rPr>
                <w:rFonts w:ascii="Arial" w:cs="Arial" w:eastAsia="Arial" w:hAnsi="Arial"/>
                <w:color w:val="333333"/>
                <w:sz w:val="20"/>
                <w:szCs w:val="20"/>
              </w:rPr>
              <w:t xml:space="preserve">Upgrade models: deploy LSTM and ensemble for all crops. Add satellite NDVI features.</w:t>
            </w:r>
          </w:p>
          <w:p>
            <w:pPr>
              <w:pStyle w:val="ListParagraph"/>
              <w:numPr>
                <w:ilvl w:val="0"/>
                <w:numId w:val="2"/>
              </w:numPr>
              <w:spacing w:before="30" w:after="30"/>
            </w:pPr>
            <w:r>
              <w:rPr>
                <w:rFonts w:ascii="Arial" w:cs="Arial" w:eastAsia="Arial" w:hAnsi="Arial"/>
                <w:color w:val="333333"/>
                <w:sz w:val="20"/>
                <w:szCs w:val="20"/>
              </w:rPr>
              <w:t xml:space="preserve">Launch 30-day forecast and seasonal outlook capabilities</w:t>
            </w:r>
          </w:p>
          <w:p>
            <w:pPr>
              <w:pStyle w:val="ListParagraph"/>
              <w:numPr>
                <w:ilvl w:val="0"/>
                <w:numId w:val="2"/>
              </w:numPr>
              <w:spacing w:before="30" w:after="30"/>
            </w:pPr>
            <w:r>
              <w:rPr>
                <w:rFonts w:ascii="Arial" w:cs="Arial" w:eastAsia="Arial" w:hAnsi="Arial"/>
                <w:color w:val="333333"/>
                <w:sz w:val="20"/>
                <w:szCs w:val="20"/>
              </w:rPr>
              <w:t xml:space="preserve">Build Trader Dashboard: multi-mandi comparison, arbitrage alerts, historical data export</w:t>
            </w:r>
          </w:p>
          <w:p>
            <w:pPr>
              <w:pStyle w:val="ListParagraph"/>
              <w:numPr>
                <w:ilvl w:val="0"/>
                <w:numId w:val="2"/>
              </w:numPr>
              <w:spacing w:before="30" w:after="30"/>
            </w:pPr>
            <w:r>
              <w:rPr>
                <w:rFonts w:ascii="Arial" w:cs="Arial" w:eastAsia="Arial" w:hAnsi="Arial"/>
                <w:color w:val="333333"/>
                <w:sz w:val="20"/>
                <w:szCs w:val="20"/>
              </w:rPr>
              <w:t xml:space="preserve">Launch Exporter Intelligence module: FOB price prediction, global price link</w:t>
            </w:r>
          </w:p>
          <w:p>
            <w:pPr>
              <w:pStyle w:val="ListParagraph"/>
              <w:numPr>
                <w:ilvl w:val="0"/>
                <w:numId w:val="2"/>
              </w:numPr>
              <w:spacing w:before="30" w:after="30"/>
            </w:pPr>
            <w:r>
              <w:rPr>
                <w:rFonts w:ascii="Arial" w:cs="Arial" w:eastAsia="Arial" w:hAnsi="Arial"/>
                <w:color w:val="333333"/>
                <w:sz w:val="20"/>
                <w:szCs w:val="20"/>
              </w:rPr>
              <w:t xml:space="preserve">Integrate government data: NAFED procurement, FCI buffer stock, MSP tracking</w:t>
            </w:r>
          </w:p>
          <w:p>
            <w:pPr>
              <w:pStyle w:val="ListParagraph"/>
              <w:numPr>
                <w:ilvl w:val="0"/>
                <w:numId w:val="2"/>
              </w:numPr>
              <w:spacing w:before="30" w:after="30"/>
            </w:pPr>
            <w:r>
              <w:rPr>
                <w:rFonts w:ascii="Arial" w:cs="Arial" w:eastAsia="Arial" w:hAnsi="Arial"/>
                <w:color w:val="333333"/>
                <w:sz w:val="20"/>
                <w:szCs w:val="20"/>
              </w:rPr>
              <w:t xml:space="preserve">Sign first 3–5 state government SaaS contracts</w:t>
            </w:r>
          </w:p>
          <w:p>
            <w:pPr>
              <w:pStyle w:val="ListParagraph"/>
              <w:numPr>
                <w:ilvl w:val="0"/>
                <w:numId w:val="2"/>
              </w:numPr>
              <w:spacing w:before="30" w:after="30"/>
            </w:pPr>
            <w:r>
              <w:rPr>
                <w:rFonts w:ascii="Arial" w:cs="Arial" w:eastAsia="Arial" w:hAnsi="Arial"/>
                <w:color w:val="333333"/>
                <w:sz w:val="20"/>
                <w:szCs w:val="20"/>
              </w:rPr>
              <w:t xml:space="preserve">Reach 1 million registered farmers on mobile app</w:t>
            </w:r>
          </w:p>
          <w:p>
            <w:pPr>
              <w:pStyle w:val="ListParagraph"/>
              <w:numPr>
                <w:ilvl w:val="0"/>
                <w:numId w:val="2"/>
              </w:numPr>
              <w:spacing w:before="30" w:after="30"/>
            </w:pPr>
            <w:r>
              <w:rPr>
                <w:rFonts w:ascii="Arial" w:cs="Arial" w:eastAsia="Arial" w:hAnsi="Arial"/>
                <w:color w:val="333333"/>
                <w:sz w:val="20"/>
                <w:szCs w:val="20"/>
              </w:rPr>
              <w:t xml:space="preserve">Launch WhatsApp Business integration for FPOs and cooperatives</w:t>
            </w:r>
          </w:p>
          <w:p>
            <w:pPr>
              <w:pStyle w:val="ListParagraph"/>
              <w:numPr>
                <w:ilvl w:val="0"/>
                <w:numId w:val="2"/>
              </w:numPr>
              <w:spacing w:before="30" w:after="30"/>
            </w:pPr>
            <w:r>
              <w:rPr>
                <w:rFonts w:ascii="Arial" w:cs="Arial" w:eastAsia="Arial" w:hAnsi="Arial"/>
                <w:color w:val="333333"/>
                <w:sz w:val="20"/>
                <w:szCs w:val="20"/>
              </w:rPr>
              <w:t xml:space="preserve">IVR system launch: toll-free number with Hindi + 5 regional languages</w:t>
            </w:r>
          </w:p>
        </w:tc>
      </w:tr>
    </w:tbl>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39C12" w:sz="1"/>
              <w:left w:val="single" w:color="F39C12" w:sz="1"/>
              <w:bottom w:val="single" w:color="F39C12" w:sz="1"/>
              <w:right w:val="single" w:color="F39C12" w:sz="1"/>
            </w:tcBorders>
            <w:shd w:fill="F39C12"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Phase 3</w:t>
            </w:r>
          </w:p>
          <w:p>
            <w:pPr>
              <w:jc w:val="center"/>
            </w:pPr>
            <w:r>
              <w:rPr>
                <w:rFonts w:ascii="Arial" w:cs="Arial" w:eastAsia="Arial" w:hAnsi="Arial"/>
                <w:color w:val="FFFFFF"/>
                <w:sz w:val="18"/>
                <w:szCs w:val="18"/>
              </w:rPr>
              <w:t xml:space="preserve">Months 19–36</w:t>
            </w:r>
          </w:p>
        </w:tc>
        <w:tc>
          <w:tcPr>
            <w:tcW w:type="dxa" w:w="7560"/>
            <w:tcBorders>
              <w:top w:val="single" w:color="BFC9CA" w:sz="1"/>
              <w:left w:val="single" w:color="BFC9CA" w:sz="1"/>
              <w:bottom w:val="single" w:color="BFC9CA" w:sz="1"/>
              <w:right w:val="single" w:color="BFC9CA" w:sz="1"/>
            </w:tcBorders>
            <w:shd w:fill="FFFFFF" w:val="clear"/>
            <w:tcMar>
              <w:top w:type="dxa" w:w="100"/>
              <w:left w:type="dxa" w:w="140"/>
              <w:bottom w:type="dxa" w:w="100"/>
              <w:right w:type="dxa" w:w="140"/>
            </w:tcMar>
          </w:tcPr>
          <w:p>
            <w:pPr>
              <w:spacing w:before="40" w:after="60"/>
            </w:pPr>
            <w:r>
              <w:rPr>
                <w:rFonts w:ascii="Arial" w:cs="Arial" w:eastAsia="Arial" w:hAnsi="Arial"/>
                <w:b/>
                <w:bCs/>
                <w:color w:val="2C3E50"/>
                <w:sz w:val="24"/>
                <w:szCs w:val="24"/>
              </w:rPr>
              <w:t xml:space="preserve">National Platform — Full Scale</w:t>
            </w:r>
          </w:p>
          <w:p>
            <w:pPr>
              <w:pStyle w:val="ListParagraph"/>
              <w:numPr>
                <w:ilvl w:val="0"/>
                <w:numId w:val="2"/>
              </w:numPr>
              <w:spacing w:before="30" w:after="30"/>
            </w:pPr>
            <w:r>
              <w:rPr>
                <w:rFonts w:ascii="Arial" w:cs="Arial" w:eastAsia="Arial" w:hAnsi="Arial"/>
                <w:color w:val="333333"/>
                <w:sz w:val="20"/>
                <w:szCs w:val="20"/>
              </w:rPr>
              <w:t xml:space="preserve">National rollout: all 28 states, 7,000+ mandis, 200+ commodities</w:t>
            </w:r>
          </w:p>
          <w:p>
            <w:pPr>
              <w:pStyle w:val="ListParagraph"/>
              <w:numPr>
                <w:ilvl w:val="0"/>
                <w:numId w:val="2"/>
              </w:numPr>
              <w:spacing w:before="30" w:after="30"/>
            </w:pPr>
            <w:r>
              <w:rPr>
                <w:rFonts w:ascii="Arial" w:cs="Arial" w:eastAsia="Arial" w:hAnsi="Arial"/>
                <w:color w:val="333333"/>
                <w:sz w:val="20"/>
                <w:szCs w:val="20"/>
              </w:rPr>
              <w:t xml:space="preserve">Deploy Transformer (TFT) model for complex cross-mandi correlation modelling</w:t>
            </w:r>
          </w:p>
          <w:p>
            <w:pPr>
              <w:pStyle w:val="ListParagraph"/>
              <w:numPr>
                <w:ilvl w:val="0"/>
                <w:numId w:val="2"/>
              </w:numPr>
              <w:spacing w:before="30" w:after="30"/>
            </w:pPr>
            <w:r>
              <w:rPr>
                <w:rFonts w:ascii="Arial" w:cs="Arial" w:eastAsia="Arial" w:hAnsi="Arial"/>
                <w:color w:val="333333"/>
                <w:sz w:val="20"/>
                <w:szCs w:val="20"/>
              </w:rPr>
              <w:t xml:space="preserve">Launch Government Policy Portal: national price stress map, MSP adequacy dashboard</w:t>
            </w:r>
          </w:p>
          <w:p>
            <w:pPr>
              <w:pStyle w:val="ListParagraph"/>
              <w:numPr>
                <w:ilvl w:val="0"/>
                <w:numId w:val="2"/>
              </w:numPr>
              <w:spacing w:before="30" w:after="30"/>
            </w:pPr>
            <w:r>
              <w:rPr>
                <w:rFonts w:ascii="Arial" w:cs="Arial" w:eastAsia="Arial" w:hAnsi="Arial"/>
                <w:color w:val="333333"/>
                <w:sz w:val="20"/>
                <w:szCs w:val="20"/>
              </w:rPr>
              <w:t xml:space="preserve">Integrate with PM-KISAN database for farmer authentication and verified registration</w:t>
            </w:r>
          </w:p>
          <w:p>
            <w:pPr>
              <w:pStyle w:val="ListParagraph"/>
              <w:numPr>
                <w:ilvl w:val="0"/>
                <w:numId w:val="2"/>
              </w:numPr>
              <w:spacing w:before="30" w:after="30"/>
            </w:pPr>
            <w:r>
              <w:rPr>
                <w:rFonts w:ascii="Arial" w:cs="Arial" w:eastAsia="Arial" w:hAnsi="Arial"/>
                <w:color w:val="333333"/>
                <w:sz w:val="20"/>
                <w:szCs w:val="20"/>
              </w:rPr>
              <w:t xml:space="preserve">Real-time eNAM auction feed integration for live intraday pricing</w:t>
            </w:r>
          </w:p>
          <w:p>
            <w:pPr>
              <w:pStyle w:val="ListParagraph"/>
              <w:numPr>
                <w:ilvl w:val="0"/>
                <w:numId w:val="2"/>
              </w:numPr>
              <w:spacing w:before="30" w:after="30"/>
            </w:pPr>
            <w:r>
              <w:rPr>
                <w:rFonts w:ascii="Arial" w:cs="Arial" w:eastAsia="Arial" w:hAnsi="Arial"/>
                <w:color w:val="333333"/>
                <w:sz w:val="20"/>
                <w:szCs w:val="20"/>
              </w:rPr>
              <w:t xml:space="preserve">MCX / NCDEX data licensing partnership for commodity exchange integration</w:t>
            </w:r>
          </w:p>
          <w:p>
            <w:pPr>
              <w:pStyle w:val="ListParagraph"/>
              <w:numPr>
                <w:ilvl w:val="0"/>
                <w:numId w:val="2"/>
              </w:numPr>
              <w:spacing w:before="30" w:after="30"/>
            </w:pPr>
            <w:r>
              <w:rPr>
                <w:rFonts w:ascii="Arial" w:cs="Arial" w:eastAsia="Arial" w:hAnsi="Arial"/>
                <w:color w:val="333333"/>
                <w:sz w:val="20"/>
                <w:szCs w:val="20"/>
              </w:rPr>
              <w:t xml:space="preserve">Launch AI Crop Advisory module (see Section 13)</w:t>
            </w:r>
          </w:p>
          <w:p>
            <w:pPr>
              <w:pStyle w:val="ListParagraph"/>
              <w:numPr>
                <w:ilvl w:val="0"/>
                <w:numId w:val="2"/>
              </w:numPr>
              <w:spacing w:before="30" w:after="30"/>
            </w:pPr>
            <w:r>
              <w:rPr>
                <w:rFonts w:ascii="Arial" w:cs="Arial" w:eastAsia="Arial" w:hAnsi="Arial"/>
                <w:color w:val="333333"/>
                <w:sz w:val="20"/>
                <w:szCs w:val="20"/>
              </w:rPr>
              <w:t xml:space="preserve">Achieve 10 million registered farmer milestone</w:t>
            </w:r>
          </w:p>
          <w:p>
            <w:pPr>
              <w:pStyle w:val="ListParagraph"/>
              <w:numPr>
                <w:ilvl w:val="0"/>
                <w:numId w:val="2"/>
              </w:numPr>
              <w:spacing w:before="30" w:after="30"/>
            </w:pPr>
            <w:r>
              <w:rPr>
                <w:rFonts w:ascii="Arial" w:cs="Arial" w:eastAsia="Arial" w:hAnsi="Arial"/>
                <w:color w:val="333333"/>
                <w:sz w:val="20"/>
                <w:szCs w:val="20"/>
              </w:rPr>
              <w:t xml:space="preserve">Full multi-language support: 12 Indian languages in app, SMS, and IVR</w:t>
            </w:r>
          </w:p>
          <w:p>
            <w:pPr>
              <w:pStyle w:val="ListParagraph"/>
              <w:numPr>
                <w:ilvl w:val="0"/>
                <w:numId w:val="2"/>
              </w:numPr>
              <w:spacing w:before="30" w:after="30"/>
            </w:pPr>
            <w:r>
              <w:rPr>
                <w:rFonts w:ascii="Arial" w:cs="Arial" w:eastAsia="Arial" w:hAnsi="Arial"/>
                <w:color w:val="333333"/>
                <w:sz w:val="20"/>
                <w:szCs w:val="20"/>
              </w:rPr>
              <w:t xml:space="preserve">Expand to export price prediction for Bangladesh, UAE, Sri Lanka corridors</w:t>
            </w:r>
          </w:p>
          <w:p>
            <w:pPr>
              <w:pStyle w:val="ListParagraph"/>
              <w:numPr>
                <w:ilvl w:val="0"/>
                <w:numId w:val="2"/>
              </w:numPr>
              <w:spacing w:before="30" w:after="30"/>
            </w:pPr>
            <w:r>
              <w:rPr>
                <w:rFonts w:ascii="Arial" w:cs="Arial" w:eastAsia="Arial" w:hAnsi="Arial"/>
                <w:color w:val="333333"/>
                <w:sz w:val="20"/>
                <w:szCs w:val="20"/>
              </w:rPr>
              <w:t xml:space="preserve">Autonomous model retraining pipeline: weekly retraining triggered by drift detection</w:t>
            </w:r>
          </w:p>
        </w:tc>
      </w:tr>
    </w:tbl>
    <w:p>
      <w:pPr>
        <w:spacing w:before="0" w:after="80"/>
      </w:pPr>
      <w:r>
        <w:rPr>
          <w:rFonts w:ascii="Arial" w:cs="Arial" w:eastAsia="Arial" w:hAnsi="Arial"/>
        </w:rPr>
        <w:t xml:space="preserve"/>
      </w:r>
    </w:p>
    <w:p>
      <w:pPr>
        <w:pBdr>
          <w:bottom w:val="single" w:color="27AE60" w:sz="6" w:space="1"/>
        </w:pBdr>
        <w:spacing w:before="200" w:after="200"/>
      </w:pPr>
      <w:r>
        <w:rPr>
          <w:rFonts w:ascii="Arial" w:cs="Arial" w:eastAsia="Arial" w:hAnsi="Arial"/>
        </w:rPr>
        <w:t xml:space="preserve"/>
      </w:r>
    </w:p>
    <w:p>
      <w:pPr>
        <w:pStyle w:val="Heading1"/>
        <w:spacing w:before="320" w:after="160"/>
      </w:pPr>
      <w:r>
        <w:rPr>
          <w:rFonts w:ascii="Arial" w:cs="Arial" w:eastAsia="Arial" w:hAnsi="Arial"/>
          <w:b/>
          <w:bCs/>
          <w:color w:val="1A5632"/>
          <w:sz w:val="32"/>
          <w:szCs w:val="32"/>
        </w:rPr>
        <w:t xml:space="preserve">13. Future Expansion</w:t>
      </w:r>
    </w:p>
    <w:p>
      <w:pPr>
        <w:pStyle w:val="Heading2"/>
        <w:spacing w:before="240" w:after="120"/>
      </w:pPr>
      <w:r>
        <w:rPr>
          <w:rFonts w:ascii="Arial" w:cs="Arial" w:eastAsia="Arial" w:hAnsi="Arial"/>
          <w:b/>
          <w:bCs/>
          <w:color w:val="1B2A4A"/>
          <w:sz w:val="26"/>
          <w:szCs w:val="26"/>
        </w:rPr>
        <w:t xml:space="preserve">13.1 AI Crop Yield Prediction</w:t>
      </w:r>
    </w:p>
    <w:p>
      <w:pPr>
        <w:spacing w:before="60" w:after="100"/>
      </w:pPr>
      <w:r>
        <w:rPr>
          <w:rFonts w:ascii="Arial" w:cs="Arial" w:eastAsia="Arial" w:hAnsi="Arial"/>
          <w:color w:val="333333"/>
          <w:sz w:val="22"/>
          <w:szCs w:val="22"/>
        </w:rPr>
        <w:t xml:space="preserve">Integrating ISRO's Fasal scheme crop cutting data with Sentinel-2 satellite imagery enables district-level yield prediction 45–90 days before harvest. A deep learning model (CNN + LSTM) processes NDVI time-series raster data per crop district to estimate yield deviation from normal. This directly feeds into the price model — a projected 15% below-average mustard yield in Rajasthan automatically shifts the seasonal price forecast upward.</w:t>
      </w:r>
    </w:p>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13.2 Export Price Prediction</w:t>
      </w:r>
    </w:p>
    <w:p>
      <w:pPr>
        <w:spacing w:before="60" w:after="100"/>
      </w:pPr>
      <w:r>
        <w:rPr>
          <w:rFonts w:ascii="Arial" w:cs="Arial" w:eastAsia="Arial" w:hAnsi="Arial"/>
          <w:color w:val="333333"/>
          <w:sz w:val="22"/>
          <w:szCs w:val="22"/>
        </w:rPr>
        <w:t xml:space="preserve">A dedicated export intelligence layer models Indian agricultural exports as a function of global commodity prices (CBOT, MATIF, Bursa Malaysia), Indian domestic prices (FOB Kandla/Nhava Sheva), freight rates (Baltic Dry Index proxies), and destination country demand indicators (Bangladesh import tender prices, Middle East food CPI). This layer enables exporters to identify optimal export windows and helps APEDA plan promotion efforts.</w:t>
      </w:r>
    </w:p>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13.3 Smart Storage Optimisation</w:t>
      </w:r>
    </w:p>
    <w:p>
      <w:pPr>
        <w:spacing w:before="60" w:after="100"/>
      </w:pPr>
      <w:r>
        <w:rPr>
          <w:rFonts w:ascii="Arial" w:cs="Arial" w:eastAsia="Arial" w:hAnsi="Arial"/>
          <w:color w:val="333333"/>
          <w:sz w:val="22"/>
          <w:szCs w:val="22"/>
        </w:rPr>
        <w:t xml:space="preserve">AI-powered storage advisory recommends whether a farmer or trader should store commodity in a cold storage / warehouse and for how long, based on predicted price trajectory, storage cost per quintal per month, insurance cost, and financing cost (interest on working capital). An integrated Warehouse Receipt System (WRS) linkage allows farmers to pledge stored commodities for Kisan Credit Cards at fair AI-valued prices.</w:t>
      </w:r>
    </w:p>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13.4 AI Crop Advisory System</w:t>
      </w:r>
    </w:p>
    <w:p>
      <w:pPr>
        <w:spacing w:before="60" w:after="100"/>
      </w:pPr>
      <w:r>
        <w:rPr>
          <w:rFonts w:ascii="Arial" w:cs="Arial" w:eastAsia="Arial" w:hAnsi="Arial"/>
          <w:color w:val="333333"/>
          <w:sz w:val="22"/>
          <w:szCs w:val="22"/>
        </w:rPr>
        <w:t xml:space="preserve">Building on the price and yield intelligence platform, a conversational AI crop advisory system (powered by a fine-tuned large language model in regional languages) answers farmers' questions about when to sow, which variety to plant given predicted demand, optimal fertiliser timing, and pest risk alerts from weather data. This positions KrishiMind as a full-lifecycle agri-intelligence platform rather than a price tool alone.</w:t>
      </w:r>
    </w:p>
    <w:p>
      <w:pPr>
        <w:spacing w:before="0" w:after="80"/>
      </w:pPr>
      <w:r>
        <w:rPr>
          <w:rFonts w:ascii="Arial" w:cs="Arial" w:eastAsia="Arial" w:hAnsi="Arial"/>
        </w:rPr>
        <w:t xml:space="preserve"/>
      </w:r>
    </w:p>
    <w:p>
      <w:pPr>
        <w:pStyle w:val="Heading2"/>
        <w:spacing w:before="240" w:after="120"/>
      </w:pPr>
      <w:r>
        <w:rPr>
          <w:rFonts w:ascii="Arial" w:cs="Arial" w:eastAsia="Arial" w:hAnsi="Arial"/>
          <w:b/>
          <w:bCs/>
          <w:color w:val="1B2A4A"/>
          <w:sz w:val="26"/>
          <w:szCs w:val="26"/>
        </w:rPr>
        <w:t xml:space="preserve">13.5 Commodity Trade Finance Integration</w:t>
      </w:r>
    </w:p>
    <w:p>
      <w:pPr>
        <w:spacing w:before="60" w:after="100"/>
      </w:pPr>
      <w:r>
        <w:rPr>
          <w:rFonts w:ascii="Arial" w:cs="Arial" w:eastAsia="Arial" w:hAnsi="Arial"/>
          <w:color w:val="333333"/>
          <w:sz w:val="22"/>
          <w:szCs w:val="22"/>
        </w:rPr>
        <w:t xml:space="preserve">KrishiMind's forecast data becomes the foundation for algorithmic agri-lending. Banks and NBFCs can use AI price predictions to dynamically price crop loans, set LTV ratios on warehouse receipts, and automate insurance premium calculations. A marketplace connecting FPOs to lenders and insurers — with AI-underwritten risk — could become the platform's largest revenue stream in Years 4–5.</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F39C12" w:sz="6"/>
              <w:bottom w:val="single" w:color="F39C12" w:sz="6"/>
              <w:right w:val="single" w:color="F39C12" w:sz="6"/>
            </w:tcBorders>
            <w:shd w:fill="FEF9E7" w:val="clear"/>
            <w:tcMar>
              <w:top w:type="dxa" w:w="200"/>
              <w:left w:type="dxa" w:w="200"/>
              <w:bottom w:type="dxa" w:w="200"/>
              <w:right w:type="dxa" w:w="200"/>
            </w:tcMar>
          </w:tcPr>
          <w:p>
            <w:pPr>
              <w:spacing w:before="60" w:after="80"/>
              <w:jc w:val="center"/>
            </w:pPr>
            <w:r>
              <w:rPr>
                <w:rFonts w:ascii="Arial" w:cs="Arial" w:eastAsia="Arial" w:hAnsi="Arial"/>
                <w:b/>
                <w:bCs/>
                <w:color w:val="2C3E50"/>
                <w:sz w:val="28"/>
                <w:szCs w:val="28"/>
              </w:rPr>
              <w:t xml:space="preserve">KrishiMind — Long-Term Platform Vision</w:t>
            </w:r>
          </w:p>
          <w:p>
            <w:pPr>
              <w:spacing w:before="20" w:after="40"/>
              <w:jc w:val="center"/>
            </w:pPr>
            <w:r>
              <w:rPr>
                <w:rFonts w:ascii="Arial" w:cs="Arial" w:eastAsia="Arial" w:hAnsi="Arial"/>
                <w:color w:val="555555"/>
                <w:sz w:val="20"/>
                <w:szCs w:val="20"/>
              </w:rPr>
              <w:t xml:space="preserve">Price Intelligence  →  Yield Prediction  →  Export Optimisation  →  Smart Storage  →  Agri-Finance  →  Full Crop Advisory</w:t>
            </w:r>
          </w:p>
          <w:p>
            <w:pPr>
              <w:jc w:val="center"/>
            </w:pPr>
            <w:r>
              <w:rPr>
                <w:rFonts w:ascii="Arial" w:cs="Arial" w:eastAsia="Arial" w:hAnsi="Arial"/>
                <w:b/>
                <w:bCs/>
                <w:i/>
                <w:iCs/>
                <w:color w:val="1A5632"/>
                <w:sz w:val="22"/>
                <w:szCs w:val="22"/>
              </w:rPr>
              <w:t xml:space="preserve">India's first end-to-end AI platform for agricultural decision intelligence</w:t>
            </w:r>
          </w:p>
        </w:tc>
      </w:tr>
    </w:tbl>
    <w:p>
      <w:pPr>
        <w:spacing w:before="0" w:after="80"/>
      </w:pPr>
      <w:r>
        <w:rPr>
          <w:rFonts w:ascii="Arial" w:cs="Arial" w:eastAsia="Arial" w:hAnsi="Arial"/>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7AE60" w:sz="4" w:space="1"/>
      </w:pBdr>
      <w:tabs>
        <w:tab w:val="right" w:pos="9026"/>
      </w:tabs>
      <w:spacing w:before="120" w:after="0"/>
    </w:pPr>
    <w:r>
      <w:rPr>
        <w:rFonts w:ascii="Arial" w:cs="Arial" w:eastAsia="Arial" w:hAnsi="Arial"/>
        <w:color w:val="888888"/>
        <w:sz w:val="16"/>
        <w:szCs w:val="16"/>
      </w:rPr>
      <w:t xml:space="preserve">Confidential — Central Government Scale Platform Design</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1A563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32" w:sz="4" w:space="1"/>
      </w:pBdr>
      <w:spacing w:before="0" w:after="120"/>
    </w:pPr>
    <w:r>
      <w:rPr>
        <w:rFonts w:ascii="Arial" w:cs="Arial" w:eastAsia="Arial" w:hAnsi="Arial"/>
        <w:b/>
        <w:bCs/>
        <w:color w:val="1A5632"/>
        <w:sz w:val="18"/>
        <w:szCs w:val="18"/>
      </w:rPr>
      <w:t xml:space="preserve">KrishiMind — National AI Commodity Price Prediction Platform</w:t>
    </w:r>
    <w:r>
      <w:rPr>
        <w:rFonts w:ascii="Arial" w:cs="Arial" w:eastAsia="Arial" w:hAnsi="Arial"/>
        <w:color w:val="888888"/>
        <w:sz w:val="18"/>
        <w:szCs w:val="18"/>
      </w:rPr>
      <w:t xml:space="preserve">   |   Architecture Blueprint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63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2A4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2026-03-15T12:29:54.925Z</dcterms:created>
  <dcterms:modified xsi:type="dcterms:W3CDTF">2026-03-15T12:29:54.926Z</dcterms:modified>
</cp:coreProperties>
</file>

<file path=docProps/custom.xml><?xml version="1.0" encoding="utf-8"?>
<Properties xmlns="http://schemas.openxmlformats.org/officeDocument/2006/custom-properties" xmlns:vt="http://schemas.openxmlformats.org/officeDocument/2006/docPropsVTypes"/>
</file>