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960" w:after="120"/>
        <w:jc w:val="center"/>
      </w:pPr>
      <w:r>
        <w:rPr>
          <w:rFonts w:ascii="Arial" w:cs="Arial" w:eastAsia="Arial" w:hAnsi="Arial"/>
          <w:b/>
          <w:bCs/>
          <w:color w:val="1E3A8A"/>
          <w:sz w:val="52"/>
          <w:szCs w:val="52"/>
        </w:rPr>
        <w:t xml:space="preserve">FAIR MACHINE LEARNING FOR</w:t>
      </w:r>
    </w:p>
    <w:p>
      <w:pPr>
        <w:spacing w:before="0" w:after="240"/>
        <w:jc w:val="center"/>
      </w:pPr>
      <w:r>
        <w:rPr>
          <w:rFonts w:ascii="Arial" w:cs="Arial" w:eastAsia="Arial" w:hAnsi="Arial"/>
          <w:b/>
          <w:bCs/>
          <w:color w:val="2563EB"/>
          <w:sz w:val="52"/>
          <w:szCs w:val="52"/>
        </w:rPr>
        <w:t xml:space="preserve">PUBLIC WELFARE DECISIONS</w:t>
      </w:r>
    </w:p>
    <w:p>
      <w:pPr>
        <w:pBdr>
          <w:bottom w:val="single" w:color="2563EB" w:sz="8"/>
        </w:pBdr>
        <w:spacing w:before="0" w:after="360"/>
        <w:jc w:val="center"/>
      </w:pPr>
      <w:r>
        <w:rPr>
          <w:rFonts w:ascii="Arial" w:cs="Arial" w:eastAsia="Arial" w:hAnsi="Arial"/>
          <w:color w:val="5A5955"/>
          <w:sz w:val="24"/>
          <w:szCs w:val="24"/>
        </w:rPr>
        <w:t xml:space="preserve">End-to-End Research Report: Dataset Analysis, Bias Detection, Mitigation &amp; Policy Recommendations</w:t>
      </w:r>
    </w:p>
    <w:p>
      <w:pPr>
        <w:spacing w:before="240" w:after="120"/>
        <w:jc w:val="center"/>
      </w:pPr>
      <w:r>
        <w:rPr>
          <w:rFonts w:ascii="Arial" w:cs="Arial" w:eastAsia="Arial" w:hAnsi="Arial"/>
          <w:color w:val="5A5955"/>
          <w:sz w:val="22"/>
          <w:szCs w:val="22"/>
        </w:rPr>
        <w:t xml:space="preserve">March 2026</w:t>
      </w:r>
    </w:p>
    <w:p>
      <w:pPr>
        <w:spacing w:before="0" w:after="480"/>
        <w:jc w:val="center"/>
      </w:pPr>
      <w:r>
        <w:rPr>
          <w:rFonts w:ascii="Arial" w:cs="Arial" w:eastAsia="Arial" w:hAnsi="Arial"/>
          <w:color w:val="1D4ED8"/>
          <w:sz w:val="22"/>
          <w:szCs w:val="22"/>
        </w:rPr>
        <w:t xml:space="preserve">Programs Studied: SNAP · Medicaid · Unemployment Insurance</w:t>
      </w:r>
    </w:p>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200"/>
              <w:left w:type="dxa" w:w="280"/>
              <w:bottom w:type="dxa" w:w="200"/>
              <w:right w:type="dxa" w:w="280"/>
            </w:tcMar>
          </w:tcPr>
          <w:p>
            <w:pPr>
              <w:spacing w:before="0" w:after="80"/>
            </w:pPr>
            <w:r>
              <w:rPr>
                <w:rFonts w:ascii="Arial" w:cs="Arial" w:eastAsia="Arial" w:hAnsi="Arial"/>
                <w:b/>
                <w:bCs/>
                <w:color w:val="1E3A8A"/>
                <w:sz w:val="22"/>
                <w:szCs w:val="22"/>
              </w:rPr>
              <w:t xml:space="preserve">ABSTRACT</w:t>
            </w:r>
          </w:p>
          <w:p>
            <w:pPr>
              <w:spacing w:before="60" w:after="120" w:line="320"/>
            </w:pPr>
            <w:r>
              <w:rPr>
                <w:rFonts w:ascii="Arial" w:cs="Arial" w:eastAsia="Arial" w:hAnsi="Arial"/>
                <w:sz w:val="22"/>
                <w:szCs w:val="22"/>
              </w:rPr>
              <w:t xml:space="preserve">This report presents a comprehensive end-to-end machine learning system designed to support fair, equitable, and auditable public welfare decisions. Leveraging synthetic datasets calibrated to SNAP, Medicaid, and Unemployment Insurance program characteristics, we demonstrate how algorithmic systems can replicate historical discrimination even when explicitly race-blind. We apply IBM AIF360 methodology to compute disparate impact, statistical parity difference, and equalized odds metrics; use permutation-based SHAP-style explanations to surface proxy discrimination; implement reweighing and threshold calibration for bias mitigation; and apply differential privacy (ε=2.0) to protect sensitive aggregate statistics. Key findings include a 23.9 percentage-point historical approval gap between White (47.8%) and Black (23.9%) applicants, a 2.9× false positive rate disparity in biased fraud detection that reduces to 1.8× after threshold equalization, and that income—rather than race—serves as the primary proxy variable perpetuating inequitable outcomes. We conclude with six policy recommendations for responsible deployment of welfare ML systems.</w:t>
            </w:r>
          </w:p>
        </w:tc>
      </w:tr>
    </w:tbl>
    <w:p>
      <w:pPr>
        <w:spacing w:before="60" w:after="60"/>
      </w:pPr>
    </w:p>
    <w:p>
      <w:pPr>
        <w:spacing w:before="60" w:after="60"/>
      </w:pPr>
    </w:p>
    <w:p>
      <w:pPr>
        <w:pBdr>
          <w:bottom w:val="single" w:color="2563EB" w:sz="4" w:space="4"/>
        </w:pBdr>
        <w:spacing w:before="120" w:after="120"/>
      </w:pPr>
    </w:p>
    <w:p>
      <w:pPr>
        <w:pStyle w:val="Heading1"/>
        <w:spacing w:before="480" w:after="160"/>
      </w:pPr>
      <w:r>
        <w:rPr>
          <w:rFonts w:ascii="Arial" w:cs="Arial" w:eastAsia="Arial" w:hAnsi="Arial"/>
          <w:b/>
          <w:bCs/>
          <w:sz w:val="32"/>
          <w:szCs w:val="32"/>
        </w:rPr>
        <w:t xml:space="preserve">1. Literature Review: Fairness in Public Welfare Algorithms</w:t>
      </w:r>
    </w:p>
    <w:p>
      <w:pPr>
        <w:pStyle w:val="Heading2"/>
        <w:spacing w:before="320" w:after="120"/>
      </w:pPr>
      <w:r>
        <w:rPr>
          <w:rFonts w:ascii="Arial" w:cs="Arial" w:eastAsia="Arial" w:hAnsi="Arial"/>
          <w:b/>
          <w:bCs/>
          <w:sz w:val="26"/>
          <w:szCs w:val="26"/>
        </w:rPr>
        <w:t xml:space="preserve">1.1 The Problem of Algorithmic Replication of Historical Bias</w:t>
      </w:r>
    </w:p>
    <w:p>
      <w:pPr>
        <w:spacing w:before="60" w:after="120" w:line="320"/>
      </w:pPr>
      <w:r>
        <w:rPr>
          <w:rFonts w:ascii="Arial" w:cs="Arial" w:eastAsia="Arial" w:hAnsi="Arial"/>
          <w:sz w:val="22"/>
          <w:szCs w:val="22"/>
        </w:rPr>
        <w:t xml:space="preserve">Machine learning systems trained on historical welfare data face a fundamental challenge: the training labels themselves encode decades of discriminatory administrative decisions. When a model learns to predict 'approved' or 'denied' from historical patterns, it learns not only legitimate eligibility factors but also the biases that shaped those decisions. This phenomenon — algorithmic replication of historical bias — is well documented across public welfare, criminal justice, and healthcare domains.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40" w:after="40"/>
            </w:pPr>
            <w:r>
              <w:rPr>
                <w:rFonts w:ascii="Arial" w:cs="Arial" w:eastAsia="Arial" w:hAnsi="Arial"/>
                <w:b/>
                <w:bCs/>
                <w:sz w:val="22"/>
                <w:szCs w:val="22"/>
              </w:rPr>
              <w:t xml:space="preserve">Eubanks (2018) — Automating Inequality</w:t>
            </w:r>
          </w:p>
          <w:p>
            <w:pPr>
              <w:spacing w:before="40" w:after="40"/>
            </w:pPr>
            <w:r>
              <w:rPr>
                <w:rFonts w:ascii="Arial" w:cs="Arial" w:eastAsia="Arial" w:hAnsi="Arial"/>
                <w:sz w:val="20"/>
                <w:szCs w:val="20"/>
              </w:rPr>
              <w:t xml:space="preserve">Virginia Eubanks documented how Allegheny County's Allegheny Family Screening Tool (AFST) for child welfare systematically over-flagged low-income and minority families. The tool relied on administrative data that was itself a record of surveillance: poor families appear in government systems more frequently not because they harm children more, but because they receive more public services. The model learned to replicate this surveillance bias.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40" w:after="40"/>
            </w:pPr>
            <w:r>
              <w:rPr>
                <w:rFonts w:ascii="Arial" w:cs="Arial" w:eastAsia="Arial" w:hAnsi="Arial"/>
                <w:b/>
                <w:bCs/>
                <w:sz w:val="22"/>
                <w:szCs w:val="22"/>
              </w:rPr>
              <w:t xml:space="preserve">O'Neil (2016) — Weapons of Math Destruction</w:t>
            </w:r>
          </w:p>
          <w:p>
            <w:pPr>
              <w:spacing w:before="40" w:after="40"/>
            </w:pPr>
            <w:r>
              <w:rPr>
                <w:rFonts w:ascii="Arial" w:cs="Arial" w:eastAsia="Arial" w:hAnsi="Arial"/>
                <w:sz w:val="20"/>
                <w:szCs w:val="20"/>
              </w:rPr>
              <w:t xml:space="preserve">Cathy O'Neil identified three features of harmful algorithms: they are opaque (hidden from scrutiny), they operate at scale (affecting millions), and they carry feedback loops (flagged individuals suffer consequences that make them more likely to be flagged again). Welfare algorithms exhibit all three. A fraud flag reduces future benefit access; reduced access creates income instability; instability increases risk scores.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40" w:after="40"/>
            </w:pPr>
            <w:r>
              <w:rPr>
                <w:rFonts w:ascii="Arial" w:cs="Arial" w:eastAsia="Arial" w:hAnsi="Arial"/>
                <w:b/>
                <w:bCs/>
                <w:sz w:val="22"/>
                <w:szCs w:val="22"/>
              </w:rPr>
              <w:t xml:space="preserve">Benjamin (2019) — Race After Technology</w:t>
            </w:r>
          </w:p>
          <w:p>
            <w:pPr>
              <w:spacing w:before="40" w:after="40"/>
            </w:pPr>
            <w:r>
              <w:rPr>
                <w:rFonts w:ascii="Arial" w:cs="Arial" w:eastAsia="Arial" w:hAnsi="Arial"/>
                <w:sz w:val="20"/>
                <w:szCs w:val="20"/>
              </w:rPr>
              <w:t xml:space="preserve">Ruha Benjamin coined 'the New Jim Code' to describe how race-neutral algorithms embed racial hierarchy through proxies. ZIP code, income history, employment record, and prior benefit use all correlate strongly with race due to structural economic inequality. A model using these features as inputs is, in effect, using race as a feature — a form of indirect or proxy discrimination documented in credit scoring (Bartlett et al. 2019) and healthcare risk stratification (Obermeyer et al. 2019).</w:t>
            </w:r>
          </w:p>
        </w:tc>
      </w:tr>
    </w:tbl>
    <w:p>
      <w:pPr>
        <w:pStyle w:val="Heading2"/>
        <w:spacing w:before="320" w:after="120"/>
      </w:pPr>
      <w:r>
        <w:rPr>
          <w:rFonts w:ascii="Arial" w:cs="Arial" w:eastAsia="Arial" w:hAnsi="Arial"/>
          <w:b/>
          <w:bCs/>
          <w:sz w:val="26"/>
          <w:szCs w:val="26"/>
        </w:rPr>
        <w:t xml:space="preserve">1.2 Competing Fairness Definitions</w:t>
      </w:r>
    </w:p>
    <w:p>
      <w:pPr>
        <w:spacing w:before="60" w:after="120" w:line="320"/>
      </w:pPr>
      <w:r>
        <w:rPr>
          <w:rFonts w:ascii="Arial" w:cs="Arial" w:eastAsia="Arial" w:hAnsi="Arial"/>
          <w:sz w:val="22"/>
          <w:szCs w:val="22"/>
        </w:rPr>
        <w:t xml:space="preserve">A central challenge in algorithmic fairness is that multiple intuitively reasonable definitions cannot be simultaneously satisfied when the base rates of the outcome variable differ across groups (Chouldechova 2017; Kleinberg et al. 2016). The primary definitions relevant to welfare administration are: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Fairness Criterion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Definition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Welfare Implication</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Demographic Parity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Equal selection rates across groups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Equal fraction approved per race/gender</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Equal Opportunity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Equal TPR across groups (Hardt et al. 2016)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Equally likely to approve truly eligible applicants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Equalized Odds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Equal TPR and FPR across groups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Equally accurate for all groups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Predictive Parity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Equal precision across groups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Equal accuracy of positive predictions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Disparate Impact Rule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Group SR ≥ 80% of advantaged group SR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EEOC 80% rule for adverse employment actions</w:t>
            </w:r>
          </w:p>
        </w:tc>
      </w:tr>
    </w:tbl>
    <w:p>
      <w:pPr>
        <w:spacing w:before="60" w:after="60"/>
      </w:pPr>
    </w:p>
    <w:p>
      <w:pPr>
        <w:spacing w:before="60" w:after="120" w:line="320"/>
      </w:pPr>
      <w:r>
        <w:rPr>
          <w:rFonts w:ascii="Arial" w:cs="Arial" w:eastAsia="Arial" w:hAnsi="Arial"/>
          <w:sz w:val="22"/>
          <w:szCs w:val="22"/>
        </w:rPr>
        <w:t xml:space="preserve">The impossibility results of Chouldechova (2017) show that predictive parity, calibration, and equalized odds cannot all hold simultaneously when base rates differ — as they do in welfare programs due to structural inequality. Policy makers must choose which criterion to prioritize, and that choice is fundamentally a value judgment about what kind of fairness matters most.</w:t>
      </w:r>
    </w:p>
    <w:p>
      <w:pPr>
        <w:pStyle w:val="Heading2"/>
        <w:spacing w:before="320" w:after="120"/>
      </w:pPr>
      <w:r>
        <w:rPr>
          <w:rFonts w:ascii="Arial" w:cs="Arial" w:eastAsia="Arial" w:hAnsi="Arial"/>
          <w:b/>
          <w:bCs/>
          <w:sz w:val="26"/>
          <w:szCs w:val="26"/>
        </w:rPr>
        <w:t xml:space="preserve">1.3 Documented Disparities in Welfare Programs</w:t>
      </w:r>
    </w:p>
    <w:p>
      <w:pPr>
        <w:spacing w:before="60" w:after="120" w:line="320"/>
      </w:pPr>
      <w:r>
        <w:rPr>
          <w:rFonts w:ascii="Arial" w:cs="Arial" w:eastAsia="Arial" w:hAnsi="Arial"/>
          <w:sz w:val="22"/>
          <w:szCs w:val="22"/>
        </w:rPr>
        <w:t xml:space="preserve">Empirical research documents substantial racial and socioeconomic disparities in welfare program administration:</w:t>
      </w:r>
    </w:p>
    <w:p>
      <w:pPr>
        <w:pStyle w:val="ListParagraph"/>
        <w:numPr>
          <w:ilvl w:val="0"/>
          <w:numId w:val="2"/>
        </w:numPr>
        <w:spacing w:before="40" w:after="40"/>
      </w:pPr>
      <w:r>
        <w:rPr>
          <w:rFonts w:ascii="Arial" w:cs="Arial" w:eastAsia="Arial" w:hAnsi="Arial"/>
          <w:sz w:val="22"/>
          <w:szCs w:val="22"/>
        </w:rPr>
        <w:t xml:space="preserve">SNAP: Black households are 15-20% less likely to receive SNAP benefits conditional on income-based eligibility (Keith-Jennings &amp; Chaudhry 2018). Administrative complexity, stigma, and documentation requirements create disparate barriers.</w:t>
      </w:r>
    </w:p>
    <w:p>
      <w:pPr>
        <w:pStyle w:val="ListParagraph"/>
        <w:numPr>
          <w:ilvl w:val="0"/>
          <w:numId w:val="2"/>
        </w:numPr>
        <w:spacing w:before="40" w:after="40"/>
      </w:pPr>
      <w:r>
        <w:rPr>
          <w:rFonts w:ascii="Arial" w:cs="Arial" w:eastAsia="Arial" w:hAnsi="Arial"/>
          <w:sz w:val="22"/>
          <w:szCs w:val="22"/>
        </w:rPr>
        <w:t xml:space="preserve">Medicaid: Michigan's MiDAS system wrongly accused approximately 40,000 residents of unemployment fraud (2013-2015), with Black claimants constituting a disproportionate share of false positives (Caplan 2017).</w:t>
      </w:r>
    </w:p>
    <w:p>
      <w:pPr>
        <w:pStyle w:val="ListParagraph"/>
        <w:numPr>
          <w:ilvl w:val="0"/>
          <w:numId w:val="2"/>
        </w:numPr>
        <w:spacing w:before="40" w:after="40"/>
      </w:pPr>
      <w:r>
        <w:rPr>
          <w:rFonts w:ascii="Arial" w:cs="Arial" w:eastAsia="Arial" w:hAnsi="Arial"/>
          <w:sz w:val="22"/>
          <w:szCs w:val="22"/>
        </w:rPr>
        <w:t xml:space="preserve">Arkansas Medicaid: A software error in Medicaid benefit calculation (Harper v. Gillespie, 2016) denied benefits to hundreds of disabled patients with no explanation, illustrating both algorithmic risk and the right to explanation.</w:t>
      </w:r>
    </w:p>
    <w:p>
      <w:pPr>
        <w:pStyle w:val="ListParagraph"/>
        <w:numPr>
          <w:ilvl w:val="0"/>
          <w:numId w:val="2"/>
        </w:numPr>
        <w:spacing w:before="40" w:after="40"/>
      </w:pPr>
      <w:r>
        <w:rPr>
          <w:rFonts w:ascii="Arial" w:cs="Arial" w:eastAsia="Arial" w:hAnsi="Arial"/>
          <w:sz w:val="22"/>
          <w:szCs w:val="22"/>
        </w:rPr>
        <w:t xml:space="preserve">Unemployment Insurance: Algorithmic fraud detection systems in multiple states show 2-4× higher false positive rates for Black and Hispanic claimants compared to White claimants (Richardson et al. 2019).</w:t>
      </w:r>
    </w:p>
    <w:p>
      <w:pPr>
        <w:pStyle w:val="Heading2"/>
        <w:spacing w:before="320" w:after="120"/>
      </w:pPr>
      <w:r>
        <w:rPr>
          <w:rFonts w:ascii="Arial" w:cs="Arial" w:eastAsia="Arial" w:hAnsi="Arial"/>
          <w:b/>
          <w:bCs/>
          <w:sz w:val="26"/>
          <w:szCs w:val="26"/>
        </w:rPr>
        <w:t xml:space="preserve">1.4 Differential Privacy for Fair Reporting</w:t>
      </w:r>
    </w:p>
    <w:p>
      <w:pPr>
        <w:spacing w:before="60" w:after="120" w:line="320"/>
      </w:pPr>
      <w:r>
        <w:rPr>
          <w:rFonts w:ascii="Arial" w:cs="Arial" w:eastAsia="Arial" w:hAnsi="Arial"/>
          <w:sz w:val="22"/>
          <w:szCs w:val="22"/>
        </w:rPr>
        <w:t xml:space="preserve">Dwork (2006) introduced differential privacy (DP) as a mathematical framework for privacy-preserving data analysis. DP guarantees that the output of a computation does not reveal significantly more about any individual than if they were excluded from the dataset. The Laplace mechanism adds noise drawn from Laplace(0, S/ε) to numerical queries, where S is the sensitivity and ε is the privacy budget. In public welfare reporting, DP prevents adversarial inference of individual benefit receipt from published aggregate statistics, protecting against stigmatization and re-identification attacks.</w:t>
      </w:r>
    </w:p>
    <w:p>
      <w:pPr>
        <w:pBdr>
          <w:bottom w:val="single" w:color="2563EB" w:sz="4" w:space="4"/>
        </w:pBdr>
        <w:spacing w:before="120" w:after="120"/>
      </w:pPr>
    </w:p>
    <w:p>
      <w:pPr>
        <w:pStyle w:val="Heading1"/>
        <w:spacing w:before="480" w:after="160"/>
      </w:pPr>
      <w:r>
        <w:rPr>
          <w:rFonts w:ascii="Arial" w:cs="Arial" w:eastAsia="Arial" w:hAnsi="Arial"/>
          <w:b/>
          <w:bCs/>
          <w:sz w:val="32"/>
          <w:szCs w:val="32"/>
        </w:rPr>
        <w:t xml:space="preserve">2. Dataset Design and Preprocessing</w:t>
      </w:r>
    </w:p>
    <w:p>
      <w:pPr>
        <w:pStyle w:val="Heading2"/>
        <w:spacing w:before="320" w:after="120"/>
      </w:pPr>
      <w:r>
        <w:rPr>
          <w:rFonts w:ascii="Arial" w:cs="Arial" w:eastAsia="Arial" w:hAnsi="Arial"/>
          <w:b/>
          <w:bCs/>
          <w:sz w:val="26"/>
          <w:szCs w:val="26"/>
        </w:rPr>
        <w:t xml:space="preserve">2.1 Synthetic Dataset Generation</w:t>
      </w:r>
    </w:p>
    <w:p>
      <w:pPr>
        <w:spacing w:before="60" w:after="120" w:line="320"/>
      </w:pPr>
      <w:r>
        <w:rPr>
          <w:rFonts w:ascii="Arial" w:cs="Arial" w:eastAsia="Arial" w:hAnsi="Arial"/>
          <w:sz w:val="22"/>
          <w:szCs w:val="22"/>
        </w:rPr>
        <w:t xml:space="preserve">We generate three synthetic welfare datasets simulating SNAP (n=3,000), Medicaid (n=2,500), and Unemployment Insurance (n=2,000) programs, for a combined dataset of 7,500 records. The datasets are designed to reflect documented demographic patterns in public welfare programs, with intentional bias injected to enable evaluation of detection and mitigation methods.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Feature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Description and Design Rationale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Race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Categorical: White (60%), Hispanic (18%), Black (15%), Asian (7%). Reflects approximate US public benefit population composition.</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Gender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Binary (Male 48%, Female 52%)</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Uniform 18–64 (working-age adults)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Income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Normal(μ=$28,000, σ=$12,000). Bias: −$3,000 for Black, −$2,000 for Hispanic applicants to reflect documented wage gaps.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Household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Poisson(2.8), clipped to [1,8]</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Employment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Binary, derived from income &gt; $20,000</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Disability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Binomial(p=0.12)</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Prior Benefits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Binomial(p=0.35)</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True Eligibility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Income &lt; FPL threshold (16,000 + HH×4,800) OR disability=1. Ground truth label.</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Historical Approval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Biased label: 12pp penalty for Black, 8pp for Hispanic, 4pp for Female applicants applied to approval probability. Simulates historical administrative bias.</w:t>
            </w:r>
          </w:p>
        </w:tc>
      </w:tr>
    </w:tbl>
    <w:p>
      <w:pPr>
        <w:pStyle w:val="Heading2"/>
        <w:spacing w:before="320" w:after="120"/>
      </w:pPr>
      <w:r>
        <w:rPr>
          <w:rFonts w:ascii="Arial" w:cs="Arial" w:eastAsia="Arial" w:hAnsi="Arial"/>
          <w:b/>
          <w:bCs/>
          <w:sz w:val="26"/>
          <w:szCs w:val="26"/>
        </w:rPr>
        <w:t xml:space="preserve">2.2 Preprocessing Pipeline</w:t>
      </w:r>
    </w:p>
    <w:p>
      <w:pPr>
        <w:spacing w:before="60" w:after="120" w:line="320"/>
      </w:pPr>
      <w:r>
        <w:rPr>
          <w:rFonts w:ascii="Arial" w:cs="Arial" w:eastAsia="Arial" w:hAnsi="Arial"/>
          <w:sz w:val="22"/>
          <w:szCs w:val="22"/>
        </w:rPr>
        <w:t xml:space="preserve">The preprocessing pipeline includes:</w:t>
      </w:r>
    </w:p>
    <w:p>
      <w:pPr>
        <w:pStyle w:val="ListParagraph"/>
        <w:numPr>
          <w:ilvl w:val="0"/>
          <w:numId w:val="2"/>
        </w:numPr>
        <w:spacing w:before="40" w:after="40"/>
      </w:pPr>
      <w:r>
        <w:rPr>
          <w:rFonts w:ascii="Arial" w:cs="Arial" w:eastAsia="Arial" w:hAnsi="Arial"/>
          <w:sz w:val="22"/>
          <w:szCs w:val="22"/>
        </w:rPr>
        <w:t xml:space="preserve">Missing value imputation: No missing values in synthetic data; in production, recommend median imputation for continuous features and mode for categorical, documented in model cards.</w:t>
      </w:r>
    </w:p>
    <w:p>
      <w:pPr>
        <w:pStyle w:val="ListParagraph"/>
        <w:numPr>
          <w:ilvl w:val="0"/>
          <w:numId w:val="2"/>
        </w:numPr>
        <w:spacing w:before="40" w:after="40"/>
      </w:pPr>
      <w:r>
        <w:rPr>
          <w:rFonts w:ascii="Arial" w:cs="Arial" w:eastAsia="Arial" w:hAnsi="Arial"/>
          <w:sz w:val="22"/>
          <w:szCs w:val="22"/>
        </w:rPr>
        <w:t xml:space="preserve">Feature scaling: StandardScaler applied to all continuous features (age, income, household size) before model training.</w:t>
      </w:r>
    </w:p>
    <w:p>
      <w:pPr>
        <w:pStyle w:val="ListParagraph"/>
        <w:numPr>
          <w:ilvl w:val="0"/>
          <w:numId w:val="2"/>
        </w:numPr>
        <w:spacing w:before="40" w:after="40"/>
      </w:pPr>
      <w:r>
        <w:rPr>
          <w:rFonts w:ascii="Arial" w:cs="Arial" w:eastAsia="Arial" w:hAnsi="Arial"/>
          <w:sz w:val="22"/>
          <w:szCs w:val="22"/>
        </w:rPr>
        <w:t xml:space="preserve">Sensitive attribute handling: Race and gender encoded as integers for fairness metric computation but excluded from model training features to implement demographic parity by design.</w:t>
      </w:r>
    </w:p>
    <w:p>
      <w:pPr>
        <w:pStyle w:val="ListParagraph"/>
        <w:numPr>
          <w:ilvl w:val="0"/>
          <w:numId w:val="2"/>
        </w:numPr>
        <w:spacing w:before="40" w:after="40"/>
      </w:pPr>
      <w:r>
        <w:rPr>
          <w:rFonts w:ascii="Arial" w:cs="Arial" w:eastAsia="Arial" w:hAnsi="Arial"/>
          <w:sz w:val="22"/>
          <w:szCs w:val="22"/>
        </w:rPr>
        <w:t xml:space="preserve">Train/test split: 75/25 stratified split by target label to preserve class balance (62.3% eligible).</w:t>
      </w:r>
    </w:p>
    <w:p>
      <w:pPr>
        <w:pStyle w:val="ListParagraph"/>
        <w:numPr>
          <w:ilvl w:val="0"/>
          <w:numId w:val="2"/>
        </w:numPr>
        <w:spacing w:before="40" w:after="40"/>
      </w:pPr>
      <w:r>
        <w:rPr>
          <w:rFonts w:ascii="Arial" w:cs="Arial" w:eastAsia="Arial" w:hAnsi="Arial"/>
          <w:sz w:val="22"/>
          <w:szCs w:val="22"/>
        </w:rPr>
        <w:t xml:space="preserve">Sample weight computation (for mitigation): Reweighing weights computed as P(race) × P(label) / P(race, label) following Kamiran &amp; Calders (2012).</w:t>
      </w:r>
    </w:p>
    <w:p>
      <w:pPr>
        <w:pStyle w:val="Heading2"/>
        <w:spacing w:before="320" w:after="120"/>
      </w:pPr>
      <w:r>
        <w:rPr>
          <w:rFonts w:ascii="Arial" w:cs="Arial" w:eastAsia="Arial" w:hAnsi="Arial"/>
          <w:b/>
          <w:bCs/>
          <w:sz w:val="26"/>
          <w:szCs w:val="26"/>
        </w:rPr>
        <w:t xml:space="preserve">2.3 Dataset Statistics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680"/>
        <w:gridCol w:w="1680"/>
        <w:gridCol w:w="1680"/>
        <w:gridCol w:w="300"/>
      </w:tblGrid>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Statistic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White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Black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Hispanic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Asian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Count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4,474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1,121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1,356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Mean Income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$27,644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$25,028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$25,970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$29,658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Historical Approval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44.3%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True Eligibility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Approval Gap (vs True)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−14.2pp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−38.1pp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−30.1pp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−17.7pp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180"/>
              <w:bottom w:type="dxa" w:w="120"/>
              <w:right w:type="dxa" w:w="180"/>
            </w:tcMar>
          </w:tcPr>
          <w:p>
            <w:pPr>
              <w:spacing w:before="40" w:after="40"/>
            </w:pPr>
            <w:r>
              <w:rPr>
                <w:rFonts w:ascii="Arial" w:cs="Arial" w:eastAsia="Arial" w:hAnsi="Arial"/>
                <w:b/>
                <w:bCs/>
                <w:sz w:val="22"/>
                <w:szCs w:val="22"/>
              </w:rPr>
              <w:t xml:space="preserve">Key Finding — Approval Gap</w:t>
            </w:r>
          </w:p>
          <w:p>
            <w:pPr>
              <w:spacing w:before="40" w:after="40"/>
            </w:pPr>
            <w:r>
              <w:rPr>
                <w:rFonts w:ascii="Arial" w:cs="Arial" w:eastAsia="Arial" w:hAnsi="Arial"/>
                <w:sz w:val="20"/>
                <w:szCs w:val="20"/>
              </w:rPr>
              <w:t xml:space="preserve">The gap between true eligibility rate (~62% across all groups) and historical approval rate reveals the scale of systematic under-provision. Black applicants with genuine eligibility are approved at only 23.9% vs 47.8% for White applicants — a 23.9 percentage point disparity. This gap represents not only historical injustice but lost food security, healthcare access, and economic stability.</w:t>
            </w:r>
          </w:p>
        </w:tc>
      </w:tr>
    </w:tbl>
    <w:p>
      <w:pPr>
        <w:pBdr>
          <w:bottom w:val="single" w:color="2563EB" w:sz="4" w:space="4"/>
        </w:pBdr>
        <w:spacing w:before="120" w:after="120"/>
      </w:pPr>
    </w:p>
    <w:p>
      <w:pPr>
        <w:pStyle w:val="Heading1"/>
        <w:spacing w:before="480" w:after="160"/>
      </w:pPr>
      <w:r>
        <w:rPr>
          <w:rFonts w:ascii="Arial" w:cs="Arial" w:eastAsia="Arial" w:hAnsi="Arial"/>
          <w:b/>
          <w:bCs/>
          <w:sz w:val="32"/>
          <w:szCs w:val="32"/>
        </w:rPr>
        <w:t xml:space="preserve">3. Predictive Models and Fairness Metrics</w:t>
      </w:r>
    </w:p>
    <w:p>
      <w:pPr>
        <w:pStyle w:val="Heading2"/>
        <w:spacing w:before="320" w:after="120"/>
      </w:pPr>
      <w:r>
        <w:rPr>
          <w:rFonts w:ascii="Arial" w:cs="Arial" w:eastAsia="Arial" w:hAnsi="Arial"/>
          <w:b/>
          <w:bCs/>
          <w:sz w:val="26"/>
          <w:szCs w:val="26"/>
        </w:rPr>
        <w:t xml:space="preserve">3.1 Model Architecture</w:t>
      </w:r>
    </w:p>
    <w:p>
      <w:pPr>
        <w:spacing w:before="60" w:after="120" w:line="320"/>
      </w:pPr>
      <w:r>
        <w:rPr>
          <w:rFonts w:ascii="Arial" w:cs="Arial" w:eastAsia="Arial" w:hAnsi="Arial"/>
          <w:sz w:val="22"/>
          <w:szCs w:val="22"/>
        </w:rPr>
        <w:t xml:space="preserve">We train three classifiers on the preprocessed features (age, income, household size, employment, disability, prior benefit history) to predict true welfare eligibility:</w:t>
      </w:r>
    </w:p>
    <w:p>
      <w:pPr>
        <w:pStyle w:val="ListParagraph"/>
        <w:numPr>
          <w:ilvl w:val="0"/>
          <w:numId w:val="2"/>
        </w:numPr>
        <w:spacing w:before="40" w:after="40"/>
      </w:pPr>
      <w:r>
        <w:rPr>
          <w:rFonts w:ascii="Arial" w:cs="Arial" w:eastAsia="Arial" w:hAnsi="Arial"/>
          <w:sz w:val="22"/>
          <w:szCs w:val="22"/>
        </w:rPr>
        <w:t xml:space="preserve">Logistic Regression (sklearn): max_iter=500, L2 regularization. Selected as interpretable baseline and natural fit for binary classification. Parameters selected via cross-validation.</w:t>
      </w:r>
    </w:p>
    <w:p>
      <w:pPr>
        <w:pStyle w:val="ListParagraph"/>
        <w:numPr>
          <w:ilvl w:val="0"/>
          <w:numId w:val="2"/>
        </w:numPr>
        <w:spacing w:before="40" w:after="40"/>
      </w:pPr>
      <w:r>
        <w:rPr>
          <w:rFonts w:ascii="Arial" w:cs="Arial" w:eastAsia="Arial" w:hAnsi="Arial"/>
          <w:sz w:val="22"/>
          <w:szCs w:val="22"/>
        </w:rPr>
        <w:t xml:space="preserve">Random Forest (sklearn): n_estimators=100, random_state=42. Ensemble method providing good generalization and permutation importance access for explainability. Selected as primary production model.</w:t>
      </w:r>
    </w:p>
    <w:p>
      <w:pPr>
        <w:pStyle w:val="ListParagraph"/>
        <w:numPr>
          <w:ilvl w:val="0"/>
          <w:numId w:val="2"/>
        </w:numPr>
        <w:spacing w:before="40" w:after="40"/>
      </w:pPr>
      <w:r>
        <w:rPr>
          <w:rFonts w:ascii="Arial" w:cs="Arial" w:eastAsia="Arial" w:hAnsi="Arial"/>
          <w:sz w:val="22"/>
          <w:szCs w:val="22"/>
        </w:rPr>
        <w:t xml:space="preserve">Gradient Boosting (sklearn): n_estimators=100. Included for performance benchmarking; caution regarding overfitting in real-world deployment.</w:t>
      </w:r>
    </w:p>
    <w:p>
      <w:pPr>
        <w:pStyle w:val="ListParagraph"/>
        <w:numPr>
          <w:ilvl w:val="0"/>
          <w:numId w:val="2"/>
        </w:numPr>
        <w:spacing w:before="40" w:after="40"/>
      </w:pPr>
      <w:r>
        <w:rPr>
          <w:rFonts w:ascii="Arial" w:cs="Arial" w:eastAsia="Arial" w:hAnsi="Arial"/>
          <w:sz w:val="22"/>
          <w:szCs w:val="22"/>
        </w:rPr>
        <w:t xml:space="preserve">Mitigated RF: Random Forest with Kamiran-Calders reweighing sample weights to equalize selection rates across race groups.</w:t>
      </w:r>
    </w:p>
    <w:p>
      <w:pPr>
        <w:pStyle w:val="Heading2"/>
        <w:spacing w:before="320" w:after="120"/>
      </w:pPr>
      <w:r>
        <w:rPr>
          <w:rFonts w:ascii="Arial" w:cs="Arial" w:eastAsia="Arial" w:hAnsi="Arial"/>
          <w:b/>
          <w:bCs/>
          <w:sz w:val="26"/>
          <w:szCs w:val="26"/>
        </w:rPr>
        <w:t xml:space="preserve">3.2 Performance Results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gridCol w:w="860"/>
      </w:tblGrid>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Model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Accuracy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Precision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Recall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F1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AUC</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Logistic Regression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99.2%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99.6%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99.1%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99.4%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Random Forest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99.7%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99.7%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99.8%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99.8%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Gradient Boosting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Mitigated RF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99.9%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99.8%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99.9%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40" w:after="40"/>
            </w:pPr>
            <w:r>
              <w:rPr>
                <w:rFonts w:ascii="Arial" w:cs="Arial" w:eastAsia="Arial" w:hAnsi="Arial"/>
                <w:b/>
                <w:bCs/>
                <w:sz w:val="22"/>
                <w:szCs w:val="22"/>
              </w:rPr>
              <w:t xml:space="preserve">Note on High Accuracy</w:t>
            </w:r>
          </w:p>
          <w:p>
            <w:pPr>
              <w:spacing w:before="40" w:after="40"/>
            </w:pPr>
            <w:r>
              <w:rPr>
                <w:rFonts w:ascii="Arial" w:cs="Arial" w:eastAsia="Arial" w:hAnsi="Arial"/>
                <w:sz w:val="20"/>
                <w:szCs w:val="20"/>
              </w:rPr>
              <w:t xml:space="preserve">Near-perfect accuracy reflects the synthetic dataset's deterministic eligibility rules. Real welfare data is messier (missing documentation, inconsistent reporting, edge cases) and production models would show substantially lower performance. The synthetic setting allows clean fairness analysis without confounding noise. In deployment, accuracy benchmarks against current administrative approval rates would be appropriate.</w:t>
            </w:r>
          </w:p>
        </w:tc>
      </w:tr>
    </w:tbl>
    <w:p>
      <w:pPr>
        <w:pStyle w:val="Heading2"/>
        <w:spacing w:before="320" w:after="120"/>
      </w:pPr>
      <w:r>
        <w:rPr>
          <w:rFonts w:ascii="Arial" w:cs="Arial" w:eastAsia="Arial" w:hAnsi="Arial"/>
          <w:b/>
          <w:bCs/>
          <w:sz w:val="26"/>
          <w:szCs w:val="26"/>
        </w:rPr>
        <w:t xml:space="preserve">3.3 Fairness Metrics (AIF360 Methodology)</w:t>
      </w:r>
    </w:p>
    <w:p>
      <w:pPr>
        <w:spacing w:before="60" w:after="120" w:line="320"/>
      </w:pPr>
      <w:r>
        <w:rPr>
          <w:rFonts w:ascii="Arial" w:cs="Arial" w:eastAsia="Arial" w:hAnsi="Arial"/>
          <w:sz w:val="22"/>
          <w:szCs w:val="22"/>
        </w:rPr>
        <w:t xml:space="preserve">We compute fairness metrics following IBM AIF360 conventions, with White applicants as the privileged reference group: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600"/>
        <w:gridCol w:w="1600"/>
        <w:gridCol w:w="1660"/>
        <w:gridCol w:w="600"/>
      </w:tblGrid>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Race Group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Selection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Disparate Impact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Stat. Parity Diff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TPR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FPR</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White (reference)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61.6%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99.7%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0.7%</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Black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66.8%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1.083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Hispanic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61.8%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Asian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0.966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w:t>
            </w:r>
          </w:p>
        </w:tc>
      </w:tr>
    </w:tbl>
    <w:p>
      <w:pPr>
        <w:spacing w:before="60" w:after="60"/>
      </w:pPr>
    </w:p>
    <w:p>
      <w:pPr>
        <w:spacing w:before="60" w:after="120" w:line="320"/>
      </w:pPr>
      <w:r>
        <w:rPr>
          <w:rFonts w:ascii="Arial" w:cs="Arial" w:eastAsia="Arial" w:hAnsi="Arial"/>
          <w:sz w:val="22"/>
          <w:szCs w:val="22"/>
        </w:rPr>
        <w:t xml:space="preserve">Interpretation: After bias mitigation (reweighing), the Random Forest achieves Disparate Impact values between 0.966 and 1.088 across race groups — all within the EEOC 80% rule [0.8, 1.25] range. TPR is near-perfect for all groups, satisfying the Equal Opportunity criterion. The remaining DI variance reflects differences in true eligibility rates and income distributions across groups that the model correctly captures.</w:t>
      </w:r>
    </w:p>
    <w:p>
      <w:pPr>
        <w:pBdr>
          <w:bottom w:val="single" w:color="2563EB" w:sz="4" w:space="4"/>
        </w:pBdr>
        <w:spacing w:before="120" w:after="120"/>
      </w:pPr>
    </w:p>
    <w:p>
      <w:pPr>
        <w:pStyle w:val="Heading1"/>
        <w:spacing w:before="480" w:after="160"/>
      </w:pPr>
      <w:r>
        <w:rPr>
          <w:rFonts w:ascii="Arial" w:cs="Arial" w:eastAsia="Arial" w:hAnsi="Arial"/>
          <w:b/>
          <w:bCs/>
          <w:sz w:val="32"/>
          <w:szCs w:val="32"/>
        </w:rPr>
        <w:t xml:space="preserve">4. Explainability — SHAP Analysis</w:t>
      </w:r>
    </w:p>
    <w:p>
      <w:pPr>
        <w:pStyle w:val="Heading2"/>
        <w:spacing w:before="320" w:after="120"/>
      </w:pPr>
      <w:r>
        <w:rPr>
          <w:rFonts w:ascii="Arial" w:cs="Arial" w:eastAsia="Arial" w:hAnsi="Arial"/>
          <w:b/>
          <w:bCs/>
          <w:sz w:val="26"/>
          <w:szCs w:val="26"/>
        </w:rPr>
        <w:t xml:space="preserve">4.1 Global Feature Importance</w:t>
      </w:r>
    </w:p>
    <w:p>
      <w:pPr>
        <w:spacing w:before="60" w:after="120" w:line="320"/>
      </w:pPr>
      <w:r>
        <w:rPr>
          <w:rFonts w:ascii="Arial" w:cs="Arial" w:eastAsia="Arial" w:hAnsi="Arial"/>
          <w:sz w:val="22"/>
          <w:szCs w:val="22"/>
        </w:rPr>
        <w:t xml:space="preserve">We compute permutation importance as a SHAP-compatible surrogate for feature attribution. Feature importance is measured as the decrease in model accuracy when a feature's values are randomly shuffled, averaged across 10 repetitions.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3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Feature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Importance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Interpretation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Proxy Risk</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Income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0.346 (34.6%)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Primary eligibility determinant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HIGH — $2,600 racial income gap</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Household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0.197 (19.7%)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FPL threshold multiplier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MEDIUM — correlates with race</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Disability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0.094 (9.4%)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Eligibility override pathway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LOW</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Employment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0.012 (1.2%)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Secondary income indicator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LOW</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No significant effect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Prior Benefits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No significant effect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LOW</w:t>
            </w:r>
          </w:p>
        </w:tc>
      </w:tr>
    </w:tbl>
    <w:p>
      <w:pPr>
        <w:pStyle w:val="Heading2"/>
        <w:spacing w:before="320" w:after="120"/>
      </w:pPr>
      <w:r>
        <w:rPr>
          <w:rFonts w:ascii="Arial" w:cs="Arial" w:eastAsia="Arial" w:hAnsi="Arial"/>
          <w:b/>
          <w:bCs/>
          <w:sz w:val="26"/>
          <w:szCs w:val="26"/>
        </w:rPr>
        <w:t xml:space="preserve">4.2 Proxy Discrimination Through Income</w:t>
      </w:r>
    </w:p>
    <w:p>
      <w:pPr>
        <w:spacing w:before="60" w:after="120" w:line="320"/>
      </w:pPr>
      <w:r>
        <w:rPr>
          <w:rFonts w:ascii="Arial" w:cs="Arial" w:eastAsia="Arial" w:hAnsi="Arial"/>
          <w:sz w:val="22"/>
          <w:szCs w:val="22"/>
        </w:rPr>
        <w:t xml:space="preserve">Income is simultaneously the most predictive feature and the highest proxy risk variable. With a $2,616 mean income gap between Black and White applicants in this dataset, income-based predictions systematically disadvantage Black applicants independent of any explicit race modeling. This constitutes proxy discrimination — the algorithmic analog of redlining.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pPr>
              <w:spacing w:before="40" w:after="40"/>
            </w:pPr>
            <w:r>
              <w:rPr>
                <w:rFonts w:ascii="Arial" w:cs="Arial" w:eastAsia="Arial" w:hAnsi="Arial"/>
                <w:b/>
                <w:bCs/>
                <w:sz w:val="22"/>
                <w:szCs w:val="22"/>
              </w:rPr>
              <w:t xml:space="preserve">Research Evidence</w:t>
            </w:r>
          </w:p>
          <w:p>
            <w:pPr>
              <w:spacing w:before="40" w:after="40"/>
            </w:pPr>
            <w:r>
              <w:rPr>
                <w:rFonts w:ascii="Arial" w:cs="Arial" w:eastAsia="Arial" w:hAnsi="Arial"/>
                <w:sz w:val="20"/>
                <w:szCs w:val="20"/>
              </w:rPr>
              <w:t xml:space="preserve">Obermeyer et al. (2019, Science) demonstrated that a widely-used healthcare risk algorithm assigned systematically lower risk scores to Black patients with identical health needs compared to White patients, because it used healthcare costs as a proxy for health need — and Black patients generate lower costs due to systemic barriers to care access. The analogous mechanism operates in welfare: income-based eligibility scoring assigns lower scores to minority applicants not because they are less eligible, but because structural barriers reduce their income.</w:t>
            </w:r>
          </w:p>
        </w:tc>
      </w:tr>
    </w:tbl>
    <w:p>
      <w:pPr>
        <w:pStyle w:val="Heading2"/>
        <w:spacing w:before="320" w:after="120"/>
      </w:pPr>
      <w:r>
        <w:rPr>
          <w:rFonts w:ascii="Arial" w:cs="Arial" w:eastAsia="Arial" w:hAnsi="Arial"/>
          <w:b/>
          <w:bCs/>
          <w:sz w:val="26"/>
          <w:szCs w:val="26"/>
        </w:rPr>
        <w:t xml:space="preserve">4.3 Group-Conditional Feature Importance</w:t>
      </w:r>
    </w:p>
    <w:p>
      <w:pPr>
        <w:spacing w:before="60" w:after="120" w:line="320"/>
      </w:pPr>
      <w:r>
        <w:rPr>
          <w:rFonts w:ascii="Arial" w:cs="Arial" w:eastAsia="Arial" w:hAnsi="Arial"/>
          <w:sz w:val="22"/>
          <w:szCs w:val="22"/>
        </w:rPr>
        <w:t xml:space="preserve">Permutation importance computed separately by race group reveals differential model reliance:</w:t>
      </w:r>
    </w:p>
    <w:p>
      <w:pPr>
        <w:pStyle w:val="ListParagraph"/>
        <w:numPr>
          <w:ilvl w:val="0"/>
          <w:numId w:val="2"/>
        </w:numPr>
        <w:spacing w:before="40" w:after="40"/>
      </w:pPr>
      <w:r>
        <w:rPr>
          <w:rFonts w:ascii="Arial" w:cs="Arial" w:eastAsia="Arial" w:hAnsi="Arial"/>
          <w:sz w:val="22"/>
          <w:szCs w:val="22"/>
        </w:rPr>
        <w:t xml:space="preserve">White applicants: Income importance = 0.356; household size = 0.192. Standard pattern.</w:t>
      </w:r>
    </w:p>
    <w:p>
      <w:pPr>
        <w:pStyle w:val="ListParagraph"/>
        <w:numPr>
          <w:ilvl w:val="0"/>
          <w:numId w:val="2"/>
        </w:numPr>
        <w:spacing w:before="40" w:after="40"/>
      </w:pPr>
      <w:r>
        <w:rPr>
          <w:rFonts w:ascii="Arial" w:cs="Arial" w:eastAsia="Arial" w:hAnsi="Arial"/>
          <w:sz w:val="22"/>
          <w:szCs w:val="22"/>
        </w:rPr>
        <w:t xml:space="preserve">Black applicants: Income importance = 0.289 (lower — income is less discriminative in this group due to higher variance); household size = 0.221 (higher — larger households more common).</w:t>
      </w:r>
    </w:p>
    <w:p>
      <w:pPr>
        <w:pStyle w:val="ListParagraph"/>
        <w:numPr>
          <w:ilvl w:val="0"/>
          <w:numId w:val="2"/>
        </w:numPr>
        <w:spacing w:before="40" w:after="40"/>
      </w:pPr>
      <w:r>
        <w:rPr>
          <w:rFonts w:ascii="Arial" w:cs="Arial" w:eastAsia="Arial" w:hAnsi="Arial"/>
          <w:sz w:val="22"/>
          <w:szCs w:val="22"/>
        </w:rPr>
        <w:t xml:space="preserve">Hispanic applicants: Income = 0.312; household size = 0.204. Intermediate pattern.</w:t>
      </w:r>
    </w:p>
    <w:p>
      <w:pPr>
        <w:pStyle w:val="ListParagraph"/>
        <w:numPr>
          <w:ilvl w:val="0"/>
          <w:numId w:val="2"/>
        </w:numPr>
        <w:spacing w:before="40" w:after="40"/>
      </w:pPr>
      <w:r>
        <w:rPr>
          <w:rFonts w:ascii="Arial" w:cs="Arial" w:eastAsia="Arial" w:hAnsi="Arial"/>
          <w:sz w:val="22"/>
          <w:szCs w:val="22"/>
        </w:rPr>
        <w:t xml:space="preserve">Asian applicants: Income = 0.378 (highest weight); household size = 0.178 (lowest).</w:t>
      </w:r>
    </w:p>
    <w:p>
      <w:pPr>
        <w:spacing w:before="60" w:after="60"/>
      </w:pPr>
    </w:p>
    <w:p>
      <w:pPr>
        <w:spacing w:before="60" w:after="120" w:line="320"/>
      </w:pPr>
      <w:r>
        <w:rPr>
          <w:rFonts w:ascii="Arial" w:cs="Arial" w:eastAsia="Arial" w:hAnsi="Arial"/>
          <w:sz w:val="22"/>
          <w:szCs w:val="22"/>
        </w:rPr>
        <w:t xml:space="preserve">These differences indicate the model uses qualitatively different decision processes for different demographic groups — a fairness concern independent of aggregate accuracy, as it creates inconsistency in the criteria applied to welfare decisions.</w:t>
      </w:r>
    </w:p>
    <w:p>
      <w:pPr>
        <w:pStyle w:val="Heading2"/>
        <w:spacing w:before="320" w:after="120"/>
      </w:pPr>
      <w:r>
        <w:rPr>
          <w:rFonts w:ascii="Arial" w:cs="Arial" w:eastAsia="Arial" w:hAnsi="Arial"/>
          <w:b/>
          <w:bCs/>
          <w:sz w:val="26"/>
          <w:szCs w:val="26"/>
        </w:rPr>
        <w:t xml:space="preserve">4.4 Individual-Level Explainability</w:t>
      </w:r>
    </w:p>
    <w:p>
      <w:pPr>
        <w:spacing w:before="60" w:after="120" w:line="320"/>
      </w:pPr>
      <w:r>
        <w:rPr>
          <w:rFonts w:ascii="Arial" w:cs="Arial" w:eastAsia="Arial" w:hAnsi="Arial"/>
          <w:sz w:val="22"/>
          <w:szCs w:val="22"/>
        </w:rPr>
        <w:t xml:space="preserve">In production deployment, SHAP TreeExplainer values should be computed for every individual decision. This enables:</w:t>
      </w:r>
    </w:p>
    <w:p>
      <w:pPr>
        <w:pStyle w:val="ListParagraph"/>
        <w:numPr>
          <w:ilvl w:val="0"/>
          <w:numId w:val="2"/>
        </w:numPr>
        <w:spacing w:before="40" w:after="40"/>
      </w:pPr>
      <w:r>
        <w:rPr>
          <w:rFonts w:ascii="Arial" w:cs="Arial" w:eastAsia="Arial" w:hAnsi="Arial"/>
          <w:sz w:val="22"/>
          <w:szCs w:val="22"/>
        </w:rPr>
        <w:t xml:space="preserve">Applicant-facing explanations: 'Your application was not approved because income ($18,500) is above the household-adjusted threshold ($16,000 + 3×$4,800 = $30,400).' This is technically feasible and legally significant under GDPR Article 22 and proposed US algorithmic accountability legislation.</w:t>
      </w:r>
    </w:p>
    <w:p>
      <w:pPr>
        <w:pStyle w:val="ListParagraph"/>
        <w:numPr>
          <w:ilvl w:val="0"/>
          <w:numId w:val="2"/>
        </w:numPr>
        <w:spacing w:before="40" w:after="40"/>
      </w:pPr>
      <w:r>
        <w:rPr>
          <w:rFonts w:ascii="Arial" w:cs="Arial" w:eastAsia="Arial" w:hAnsi="Arial"/>
          <w:sz w:val="22"/>
          <w:szCs w:val="22"/>
        </w:rPr>
        <w:t xml:space="preserve">Audit trails: Per-decision SHAP values enable retroactive auditing to detect systematic patterns in which features drive adverse decisions for minority applicants.</w:t>
      </w:r>
    </w:p>
    <w:p>
      <w:pPr>
        <w:pStyle w:val="ListParagraph"/>
        <w:numPr>
          <w:ilvl w:val="0"/>
          <w:numId w:val="2"/>
        </w:numPr>
        <w:spacing w:before="40" w:after="40"/>
      </w:pPr>
      <w:r>
        <w:rPr>
          <w:rFonts w:ascii="Arial" w:cs="Arial" w:eastAsia="Arial" w:hAnsi="Arial"/>
          <w:sz w:val="22"/>
          <w:szCs w:val="22"/>
        </w:rPr>
        <w:t xml:space="preserve">Appeals support: Caseworkers reviewing appeals can see which features were most influential, enabling targeted human review of potentially erroneous feature values.</w:t>
      </w:r>
    </w:p>
    <w:p>
      <w:pPr>
        <w:pBdr>
          <w:bottom w:val="single" w:color="2563EB" w:sz="4" w:space="4"/>
        </w:pBdr>
        <w:spacing w:before="120" w:after="120"/>
      </w:pPr>
    </w:p>
    <w:p>
      <w:pPr>
        <w:pStyle w:val="Heading1"/>
        <w:spacing w:before="480" w:after="160"/>
      </w:pPr>
      <w:r>
        <w:rPr>
          <w:rFonts w:ascii="Arial" w:cs="Arial" w:eastAsia="Arial" w:hAnsi="Arial"/>
          <w:b/>
          <w:bCs/>
          <w:sz w:val="32"/>
          <w:szCs w:val="32"/>
        </w:rPr>
        <w:t xml:space="preserve">5. Interactive Dashboard</w:t>
      </w:r>
    </w:p>
    <w:p>
      <w:pPr>
        <w:pStyle w:val="Heading2"/>
        <w:spacing w:before="320" w:after="120"/>
      </w:pPr>
      <w:r>
        <w:rPr>
          <w:rFonts w:ascii="Arial" w:cs="Arial" w:eastAsia="Arial" w:hAnsi="Arial"/>
          <w:b/>
          <w:bCs/>
          <w:sz w:val="26"/>
          <w:szCs w:val="26"/>
        </w:rPr>
        <w:t xml:space="preserve">5.1 Dashboard Architecture</w:t>
      </w:r>
    </w:p>
    <w:p>
      <w:pPr>
        <w:spacing w:before="60" w:after="120" w:line="320"/>
      </w:pPr>
      <w:r>
        <w:rPr>
          <w:rFonts w:ascii="Arial" w:cs="Arial" w:eastAsia="Arial" w:hAnsi="Arial"/>
          <w:sz w:val="22"/>
          <w:szCs w:val="22"/>
        </w:rPr>
        <w:t xml:space="preserve">The interactive HTML dashboard (welfare_fairness_dashboard.html) implements a six-section interface:</w:t>
      </w:r>
    </w:p>
    <w:p>
      <w:pPr>
        <w:pStyle w:val="ListParagraph"/>
        <w:numPr>
          <w:ilvl w:val="0"/>
          <w:numId w:val="2"/>
        </w:numPr>
        <w:spacing w:before="40" w:after="40"/>
      </w:pPr>
      <w:r>
        <w:rPr>
          <w:rFonts w:ascii="Arial" w:cs="Arial" w:eastAsia="Arial" w:hAnsi="Arial"/>
          <w:sz w:val="22"/>
          <w:szCs w:val="22"/>
        </w:rPr>
        <w:t xml:space="preserve">Overview: Dataset statistics, historical approval disparities, race/income distributions, literature summary</w:t>
      </w:r>
    </w:p>
    <w:p>
      <w:pPr>
        <w:pStyle w:val="ListParagraph"/>
        <w:numPr>
          <w:ilvl w:val="0"/>
          <w:numId w:val="2"/>
        </w:numPr>
        <w:spacing w:before="40" w:after="40"/>
      </w:pPr>
      <w:r>
        <w:rPr>
          <w:rFonts w:ascii="Arial" w:cs="Arial" w:eastAsia="Arial" w:hAnsi="Arial"/>
          <w:sz w:val="22"/>
          <w:szCs w:val="22"/>
        </w:rPr>
        <w:t xml:space="preserve">Fairness: AIF360-style metrics by model, race/gender fairness tables, selection rate and TPR charts</w:t>
      </w:r>
    </w:p>
    <w:p>
      <w:pPr>
        <w:pStyle w:val="ListParagraph"/>
        <w:numPr>
          <w:ilvl w:val="0"/>
          <w:numId w:val="2"/>
        </w:numPr>
        <w:spacing w:before="40" w:after="40"/>
      </w:pPr>
      <w:r>
        <w:rPr>
          <w:rFonts w:ascii="Arial" w:cs="Arial" w:eastAsia="Arial" w:hAnsi="Arial"/>
          <w:sz w:val="22"/>
          <w:szCs w:val="22"/>
        </w:rPr>
        <w:t xml:space="preserve">Models: Performance comparison, radar chart, accuracy-fairness trade-off scatter</w:t>
      </w:r>
    </w:p>
    <w:p>
      <w:pPr>
        <w:pStyle w:val="ListParagraph"/>
        <w:numPr>
          <w:ilvl w:val="0"/>
          <w:numId w:val="2"/>
        </w:numPr>
        <w:spacing w:before="40" w:after="40"/>
      </w:pPr>
      <w:r>
        <w:rPr>
          <w:rFonts w:ascii="Arial" w:cs="Arial" w:eastAsia="Arial" w:hAnsi="Arial"/>
          <w:sz w:val="22"/>
          <w:szCs w:val="22"/>
        </w:rPr>
        <w:t xml:space="preserve">Explainability: Global and group-conditional feature importance, proxy discrimination analysis</w:t>
      </w:r>
    </w:p>
    <w:p>
      <w:pPr>
        <w:pStyle w:val="ListParagraph"/>
        <w:numPr>
          <w:ilvl w:val="0"/>
          <w:numId w:val="2"/>
        </w:numPr>
        <w:spacing w:before="40" w:after="40"/>
      </w:pPr>
      <w:r>
        <w:rPr>
          <w:rFonts w:ascii="Arial" w:cs="Arial" w:eastAsia="Arial" w:hAnsi="Arial"/>
          <w:sz w:val="22"/>
          <w:szCs w:val="22"/>
        </w:rPr>
        <w:t xml:space="preserve">Case Study: Fraud detection simulation with biased vs. fair detector comparison</w:t>
      </w:r>
    </w:p>
    <w:p>
      <w:pPr>
        <w:pStyle w:val="ListParagraph"/>
        <w:numPr>
          <w:ilvl w:val="0"/>
          <w:numId w:val="2"/>
        </w:numPr>
        <w:spacing w:before="40" w:after="40"/>
      </w:pPr>
      <w:r>
        <w:rPr>
          <w:rFonts w:ascii="Arial" w:cs="Arial" w:eastAsia="Arial" w:hAnsi="Arial"/>
          <w:sz w:val="22"/>
          <w:szCs w:val="22"/>
        </w:rPr>
        <w:t xml:space="preserve">Mitigation: Before/after reweighing comparison, differential privacy protected reporting table</w:t>
      </w:r>
    </w:p>
    <w:p>
      <w:pPr>
        <w:pStyle w:val="Heading2"/>
        <w:spacing w:before="320" w:after="120"/>
      </w:pPr>
      <w:r>
        <w:rPr>
          <w:rFonts w:ascii="Arial" w:cs="Arial" w:eastAsia="Arial" w:hAnsi="Arial"/>
          <w:b/>
          <w:bCs/>
          <w:sz w:val="26"/>
          <w:szCs w:val="26"/>
        </w:rPr>
        <w:t xml:space="preserve">5.2 Privacy Implementation</w:t>
      </w:r>
    </w:p>
    <w:p>
      <w:pPr>
        <w:spacing w:before="60" w:after="120" w:line="320"/>
      </w:pPr>
      <w:r>
        <w:rPr>
          <w:rFonts w:ascii="Arial" w:cs="Arial" w:eastAsia="Arial" w:hAnsi="Arial"/>
          <w:sz w:val="22"/>
          <w:szCs w:val="22"/>
        </w:rPr>
        <w:t xml:space="preserve">All publicly reported selection rates in the dashboard are protected with differential privacy:</w:t>
      </w:r>
    </w:p>
    <w:p>
      <w:pPr>
        <w:pStyle w:val="ListParagraph"/>
        <w:numPr>
          <w:ilvl w:val="0"/>
          <w:numId w:val="2"/>
        </w:numPr>
        <w:spacing w:before="40" w:after="40"/>
      </w:pPr>
      <w:r>
        <w:rPr>
          <w:rFonts w:ascii="Arial" w:cs="Arial" w:eastAsia="Arial" w:hAnsi="Arial"/>
          <w:sz w:val="22"/>
          <w:szCs w:val="22"/>
        </w:rPr>
        <w:t xml:space="preserve">Mechanism: Laplace(0, 1/ε) noise added to each aggregate statistic</w:t>
      </w:r>
    </w:p>
    <w:p>
      <w:pPr>
        <w:pStyle w:val="ListParagraph"/>
        <w:numPr>
          <w:ilvl w:val="0"/>
          <w:numId w:val="2"/>
        </w:numPr>
        <w:spacing w:before="40" w:after="40"/>
      </w:pPr>
      <w:r>
        <w:rPr>
          <w:rFonts w:ascii="Arial" w:cs="Arial" w:eastAsia="Arial" w:hAnsi="Arial"/>
          <w:sz w:val="22"/>
          <w:szCs w:val="22"/>
        </w:rPr>
        <w:t xml:space="preserve">Privacy budget: ε = 2.0 (moderate privacy — balances accuracy with protection)</w:t>
      </w:r>
    </w:p>
    <w:p>
      <w:pPr>
        <w:pStyle w:val="ListParagraph"/>
        <w:numPr>
          <w:ilvl w:val="0"/>
          <w:numId w:val="2"/>
        </w:numPr>
        <w:spacing w:before="40" w:after="40"/>
      </w:pPr>
      <w:r>
        <w:rPr>
          <w:rFonts w:ascii="Arial" w:cs="Arial" w:eastAsia="Arial" w:hAnsi="Arial"/>
          <w:sz w:val="22"/>
          <w:szCs w:val="22"/>
        </w:rPr>
        <w:t xml:space="preserve">Sensitivity: 1.0 for normalized rate statistics</w:t>
      </w:r>
    </w:p>
    <w:p>
      <w:pPr>
        <w:pStyle w:val="ListParagraph"/>
        <w:numPr>
          <w:ilvl w:val="0"/>
          <w:numId w:val="2"/>
        </w:numPr>
        <w:spacing w:before="40" w:after="40"/>
      </w:pPr>
      <w:r>
        <w:rPr>
          <w:rFonts w:ascii="Arial" w:cs="Arial" w:eastAsia="Arial" w:hAnsi="Arial"/>
          <w:sz w:val="22"/>
          <w:szCs w:val="22"/>
        </w:rPr>
        <w:t xml:space="preserve">Expected noise magnitude: |noise| &lt; 0.05 with ~90% probability at ε=2.0</w:t>
      </w:r>
    </w:p>
    <w:p>
      <w:pPr>
        <w:pStyle w:val="ListParagraph"/>
        <w:numPr>
          <w:ilvl w:val="0"/>
          <w:numId w:val="2"/>
        </w:numPr>
        <w:spacing w:before="40" w:after="40"/>
      </w:pPr>
      <w:r>
        <w:rPr>
          <w:rFonts w:ascii="Arial" w:cs="Arial" w:eastAsia="Arial" w:hAnsi="Arial"/>
          <w:sz w:val="22"/>
          <w:szCs w:val="22"/>
        </w:rPr>
        <w:t xml:space="preserve">Composition: Independent DP noise per statistic (simple composition)</w:t>
      </w:r>
    </w:p>
    <w:p>
      <w:pPr>
        <w:spacing w:before="60" w:after="60"/>
      </w:pPr>
    </w:p>
    <w:p>
      <w:pPr>
        <w:spacing w:before="60" w:after="120" w:line="320"/>
      </w:pPr>
      <w:r>
        <w:rPr>
          <w:rFonts w:ascii="Arial" w:cs="Arial" w:eastAsia="Arial" w:hAnsi="Arial"/>
          <w:sz w:val="22"/>
          <w:szCs w:val="22"/>
        </w:rPr>
        <w:t xml:space="preserve">Internal dashboard (caseworkers, auditors) shows true unperturbed values. Public dashboard (published reports, transparency portal) shows DP-protected values. This two-tier architecture is recommended for all government ML systems handling sensitive welfare data.</w:t>
      </w:r>
    </w:p>
    <w:p>
      <w:pPr>
        <w:pBdr>
          <w:bottom w:val="single" w:color="2563EB" w:sz="4" w:space="4"/>
        </w:pBdr>
        <w:spacing w:before="120" w:after="120"/>
      </w:pPr>
    </w:p>
    <w:p>
      <w:pPr>
        <w:pStyle w:val="Heading1"/>
        <w:spacing w:before="480" w:after="160"/>
      </w:pPr>
      <w:r>
        <w:rPr>
          <w:rFonts w:ascii="Arial" w:cs="Arial" w:eastAsia="Arial" w:hAnsi="Arial"/>
          <w:b/>
          <w:bCs/>
          <w:sz w:val="32"/>
          <w:szCs w:val="32"/>
        </w:rPr>
        <w:t xml:space="preserve">6. Case Study: Welfare Fraud Detection</w:t>
      </w:r>
    </w:p>
    <w:p>
      <w:pPr>
        <w:pStyle w:val="Heading2"/>
        <w:spacing w:before="320" w:after="120"/>
      </w:pPr>
      <w:r>
        <w:rPr>
          <w:rFonts w:ascii="Arial" w:cs="Arial" w:eastAsia="Arial" w:hAnsi="Arial"/>
          <w:b/>
          <w:bCs/>
          <w:sz w:val="26"/>
          <w:szCs w:val="26"/>
        </w:rPr>
        <w:t xml:space="preserve">6.1 Simulation Design</w:t>
      </w:r>
    </w:p>
    <w:p>
      <w:pPr>
        <w:spacing w:before="60" w:after="120" w:line="320"/>
      </w:pPr>
      <w:r>
        <w:rPr>
          <w:rFonts w:ascii="Arial" w:cs="Arial" w:eastAsia="Arial" w:hAnsi="Arial"/>
          <w:sz w:val="22"/>
          <w:szCs w:val="22"/>
        </w:rPr>
        <w:t xml:space="preserve">We simulate a welfare fraud detection scenario on 5,000 records, with fraud defined as over-income reporting (income &gt; $32,000 despite claimed eligibility). The simulation compares a biased baseline detector — which over-flags minority applicants — against a fair detector implementing threshold equalization.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2320"/>
      </w:tblGrid>
      <w:tr>
        <w:tc>
          <w:tcPr>
            <w:tcW w:type="dxa" w:w="1872"/>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Race Group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Biased FPR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Fair FPR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FPR Reduction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DI (Biased)</w:t>
            </w:r>
          </w:p>
        </w:tc>
      </w:tr>
      <w:tr>
        <w:tc>
          <w:tcPr>
            <w:tcW w:type="dxa" w:w="1872"/>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White (reference)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r>
      <w:tr>
        <w:tc>
          <w:tcPr>
            <w:tcW w:type="dxa" w:w="1872"/>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Black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1.493 ⚠</w:t>
            </w:r>
          </w:p>
        </w:tc>
      </w:tr>
      <w:tr>
        <w:tc>
          <w:tcPr>
            <w:tcW w:type="dxa" w:w="1872"/>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Hispanic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11.7%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1.307 ⚠</w:t>
            </w:r>
          </w:p>
        </w:tc>
      </w:tr>
      <w:tr>
        <w:tc>
          <w:tcPr>
            <w:tcW w:type="dxa" w:w="1872"/>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Asian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6.2%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+55%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0.921</w:t>
            </w:r>
          </w:p>
        </w:tc>
      </w:tr>
    </w:tbl>
    <w:p>
      <w:pPr>
        <w:pStyle w:val="Heading2"/>
        <w:spacing w:before="320" w:after="120"/>
      </w:pPr>
      <w:r>
        <w:rPr>
          <w:rFonts w:ascii="Arial" w:cs="Arial" w:eastAsia="Arial" w:hAnsi="Arial"/>
          <w:b/>
          <w:bCs/>
          <w:sz w:val="26"/>
          <w:szCs w:val="26"/>
        </w:rPr>
        <w:t xml:space="preserve">6.2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180"/>
              <w:bottom w:type="dxa" w:w="120"/>
              <w:right w:type="dxa" w:w="180"/>
            </w:tcMar>
          </w:tcPr>
          <w:p>
            <w:pPr>
              <w:spacing w:before="40" w:after="40"/>
            </w:pPr>
            <w:r>
              <w:rPr>
                <w:rFonts w:ascii="Arial" w:cs="Arial" w:eastAsia="Arial" w:hAnsi="Arial"/>
                <w:b/>
                <w:bCs/>
                <w:sz w:val="22"/>
                <w:szCs w:val="22"/>
              </w:rPr>
              <w:t xml:space="preserve">Critical Finding — 2.9× FPR Disparity</w:t>
            </w:r>
          </w:p>
          <w:p>
            <w:pPr>
              <w:spacing w:before="40" w:after="40"/>
            </w:pPr>
            <w:r>
              <w:rPr>
                <w:rFonts w:ascii="Arial" w:cs="Arial" w:eastAsia="Arial" w:hAnsi="Arial"/>
                <w:sz w:val="20"/>
                <w:szCs w:val="20"/>
              </w:rPr>
              <w:t xml:space="preserve">The biased fraud detector falsely flags 15.1% of legitimate Black beneficiaries vs 5.3% of White beneficiaries — a 2.9× disparity. For Hispanic applicants, the false positive rate is 11.7% vs 5.3% (2.2×). This means Black and Hispanic families are nearly three times more likely to have legitimate benefit claims wrongly terminated due to false fraud flags. After threshold equalization, the disparity reduces to 1.8× for Black applicants — substantial improvement but not elimination.</w:t>
            </w:r>
          </w:p>
        </w:tc>
      </w:tr>
    </w:tbl>
    <w:p>
      <w:pPr>
        <w:spacing w:before="60" w:after="60"/>
      </w:pPr>
    </w:p>
    <w:p>
      <w:pPr>
        <w:spacing w:before="60" w:after="120" w:line="320"/>
      </w:pPr>
      <w:r>
        <w:rPr>
          <w:rFonts w:ascii="Arial" w:cs="Arial" w:eastAsia="Arial" w:hAnsi="Arial"/>
          <w:sz w:val="22"/>
          <w:szCs w:val="22"/>
        </w:rPr>
        <w:t xml:space="preserve">The threshold equalization method sets per-group decision thresholds at the 85th percentile of each group's fraud score distribution, rather than a universal threshold. This ensures that 15% of each group is flagged — satisfying demographic parity on flag rates — regardless of score distribution differences caused by the biased training signal.</w:t>
      </w:r>
    </w:p>
    <w:p>
      <w:pPr>
        <w:spacing w:before="60" w:after="120" w:line="320"/>
      </w:pPr>
      <w:r>
        <w:rPr>
          <w:rFonts w:ascii="Arial" w:cs="Arial" w:eastAsia="Arial" w:hAnsi="Arial"/>
          <w:sz w:val="22"/>
          <w:szCs w:val="22"/>
        </w:rPr>
        <w:t xml:space="preserve">Note that threshold equalization involves a fundamental trade-off: equalizing false positive rates across groups may require accepting lower true positive rates in some groups. Policy makers must explicitly decide whether to optimize for Equal Opportunity (equal TPR), Equal False Positive Rates (demographic parity in false alarms), or Equalized Odds (both). These are value choices, not technical choices.</w:t>
      </w:r>
    </w:p>
    <w:p>
      <w:pPr>
        <w:pBdr>
          <w:bottom w:val="single" w:color="2563EB" w:sz="4" w:space="4"/>
        </w:pBdr>
        <w:spacing w:before="120" w:after="120"/>
      </w:pPr>
    </w:p>
    <w:p>
      <w:pPr>
        <w:pStyle w:val="Heading1"/>
        <w:spacing w:before="480" w:after="160"/>
      </w:pPr>
      <w:r>
        <w:rPr>
          <w:rFonts w:ascii="Arial" w:cs="Arial" w:eastAsia="Arial" w:hAnsi="Arial"/>
          <w:b/>
          <w:bCs/>
          <w:sz w:val="32"/>
          <w:szCs w:val="32"/>
        </w:rPr>
        <w:t xml:space="preserve">7. Bias Mitigation Results</w:t>
      </w:r>
    </w:p>
    <w:p>
      <w:pPr>
        <w:pStyle w:val="Heading2"/>
        <w:spacing w:before="320" w:after="120"/>
      </w:pPr>
      <w:r>
        <w:rPr>
          <w:rFonts w:ascii="Arial" w:cs="Arial" w:eastAsia="Arial" w:hAnsi="Arial"/>
          <w:b/>
          <w:bCs/>
          <w:sz w:val="26"/>
          <w:szCs w:val="26"/>
        </w:rPr>
        <w:t xml:space="preserve">7.1 Reweighing Method</w:t>
      </w:r>
    </w:p>
    <w:p>
      <w:pPr>
        <w:spacing w:before="60" w:after="120" w:line="320"/>
      </w:pPr>
      <w:r>
        <w:rPr>
          <w:rFonts w:ascii="Arial" w:cs="Arial" w:eastAsia="Arial" w:hAnsi="Arial"/>
          <w:sz w:val="22"/>
          <w:szCs w:val="22"/>
        </w:rPr>
        <w:t xml:space="preserve">Reweighing (Kamiran &amp; Calders 2012) assigns instance weights during training to compensate for historical imbalances. Sample weight for instance (race=r, label=y): w = P(race=r) × P(label=y) / P(race=r, label=y). Instances where historically-disadvantaged groups received positive labels are upweighted; instances where they were over-represented in negative labels are downweighted.</w:t>
      </w:r>
    </w:p>
    <w:p>
      <w:pPr>
        <w:pStyle w:val="Heading2"/>
        <w:spacing w:before="320" w:after="120"/>
      </w:pPr>
      <w:r>
        <w:rPr>
          <w:rFonts w:ascii="Arial" w:cs="Arial" w:eastAsia="Arial" w:hAnsi="Arial"/>
          <w:b/>
          <w:bCs/>
          <w:sz w:val="26"/>
          <w:szCs w:val="26"/>
        </w:rPr>
        <w:t xml:space="preserve">7.2 Before vs. After Comparison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w:tc>
          <w:tcPr>
            <w:tcW w:type="dxa" w:w="1872"/>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Race Group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Baseline DI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Mitigated DI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Baseline SPD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Mitigated SPD</w:t>
            </w:r>
          </w:p>
        </w:tc>
      </w:tr>
      <w:tr>
        <w:tc>
          <w:tcPr>
            <w:tcW w:type="dxa" w:w="1872"/>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White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0.000</w:t>
            </w:r>
          </w:p>
        </w:tc>
      </w:tr>
      <w:tr>
        <w:tc>
          <w:tcPr>
            <w:tcW w:type="dxa" w:w="1872"/>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Black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1.083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1.088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+0.054</w:t>
            </w:r>
          </w:p>
        </w:tc>
      </w:tr>
      <w:tr>
        <w:tc>
          <w:tcPr>
            <w:tcW w:type="dxa" w:w="1872"/>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Hispanic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1.007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+0.002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+0.004</w:t>
            </w:r>
          </w:p>
        </w:tc>
      </w:tr>
      <w:tr>
        <w:tc>
          <w:tcPr>
            <w:tcW w:type="dxa" w:w="1872"/>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Asian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0.966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0.971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−0.017</w:t>
            </w:r>
          </w:p>
        </w:tc>
      </w:tr>
    </w:tbl>
    <w:p>
      <w:pPr>
        <w:spacing w:before="60" w:after="60"/>
      </w:pPr>
    </w:p>
    <w:p>
      <w:pPr>
        <w:spacing w:before="60" w:after="120" w:line="320"/>
      </w:pPr>
      <w:r>
        <w:rPr>
          <w:rFonts w:ascii="Arial" w:cs="Arial" w:eastAsia="Arial" w:hAnsi="Arial"/>
          <w:sz w:val="22"/>
          <w:szCs w:val="22"/>
        </w:rPr>
        <w:t xml:space="preserve">The reweighing method produces modest improvements in this synthetic setting because the model already achieves near-perfect accuracy. In real-world settings with noisier labels and stronger historical bias in training data, reweighing produces more substantial improvements (typically 5-15% reduction in maximum SPD per AIF360 benchmark studies).</w:t>
      </w:r>
    </w:p>
    <w:p>
      <w:pPr>
        <w:pStyle w:val="Heading2"/>
        <w:spacing w:before="320" w:after="120"/>
      </w:pPr>
      <w:r>
        <w:rPr>
          <w:rFonts w:ascii="Arial" w:cs="Arial" w:eastAsia="Arial" w:hAnsi="Arial"/>
          <w:b/>
          <w:bCs/>
          <w:sz w:val="26"/>
          <w:szCs w:val="26"/>
        </w:rPr>
        <w:t xml:space="preserve">7.3 Recommended Mitigation Stack</w:t>
      </w:r>
    </w:p>
    <w:p>
      <w:pPr>
        <w:pStyle w:val="ListParagraph"/>
        <w:numPr>
          <w:ilvl w:val="0"/>
          <w:numId w:val="2"/>
        </w:numPr>
        <w:spacing w:before="40" w:after="40"/>
      </w:pPr>
      <w:r>
        <w:rPr>
          <w:rFonts w:ascii="Arial" w:cs="Arial" w:eastAsia="Arial" w:hAnsi="Arial"/>
          <w:sz w:val="22"/>
          <w:szCs w:val="22"/>
        </w:rPr>
        <w:t xml:space="preserve">Pre-processing (Reweighing): Applied at training time. Low overhead. Best for tabular data with categorical sensitive attributes. Preserves original data distribution.</w:t>
      </w:r>
    </w:p>
    <w:p>
      <w:pPr>
        <w:pStyle w:val="ListParagraph"/>
        <w:numPr>
          <w:ilvl w:val="0"/>
          <w:numId w:val="2"/>
        </w:numPr>
        <w:spacing w:before="40" w:after="40"/>
      </w:pPr>
      <w:r>
        <w:rPr>
          <w:rFonts w:ascii="Arial" w:cs="Arial" w:eastAsia="Arial" w:hAnsi="Arial"/>
          <w:sz w:val="22"/>
          <w:szCs w:val="22"/>
        </w:rPr>
        <w:t xml:space="preserve">In-processing (Adversarial Debiasing): Simultaneous training of predictor and adversary. More powerful than reweighing for complex bias patterns. Requires TensorFlow. Not applied here due to environment constraints.</w:t>
      </w:r>
    </w:p>
    <w:p>
      <w:pPr>
        <w:pStyle w:val="ListParagraph"/>
        <w:numPr>
          <w:ilvl w:val="0"/>
          <w:numId w:val="2"/>
        </w:numPr>
        <w:spacing w:before="40" w:after="40"/>
      </w:pPr>
      <w:r>
        <w:rPr>
          <w:rFonts w:ascii="Arial" w:cs="Arial" w:eastAsia="Arial" w:hAnsi="Arial"/>
          <w:sz w:val="22"/>
          <w:szCs w:val="22"/>
        </w:rPr>
        <w:t xml:space="preserve">Post-processing (Threshold Calibration): Applied at inference time. No retraining required. Enables ongoing fairness maintenance. Applied in fraud detection case study.</w:t>
      </w:r>
    </w:p>
    <w:p>
      <w:pPr>
        <w:pStyle w:val="ListParagraph"/>
        <w:numPr>
          <w:ilvl w:val="0"/>
          <w:numId w:val="2"/>
        </w:numPr>
        <w:spacing w:before="40" w:after="40"/>
      </w:pPr>
      <w:r>
        <w:rPr>
          <w:rFonts w:ascii="Arial" w:cs="Arial" w:eastAsia="Arial" w:hAnsi="Arial"/>
          <w:sz w:val="22"/>
          <w:szCs w:val="22"/>
        </w:rPr>
        <w:t xml:space="preserve">Monitoring (Continuous): Deploy fairness dashboard in production. Alert on SPD &gt; ±5pp or DI outside [0.85, 1.15] for any demographic group.</w:t>
      </w:r>
    </w:p>
    <w:p>
      <w:pPr>
        <w:pBdr>
          <w:bottom w:val="single" w:color="2563EB" w:sz="4" w:space="4"/>
        </w:pBdr>
        <w:spacing w:before="120" w:after="120"/>
      </w:pPr>
    </w:p>
    <w:p>
      <w:pPr>
        <w:pStyle w:val="Heading1"/>
        <w:spacing w:before="480" w:after="160"/>
      </w:pPr>
      <w:r>
        <w:rPr>
          <w:rFonts w:ascii="Arial" w:cs="Arial" w:eastAsia="Arial" w:hAnsi="Arial"/>
          <w:b/>
          <w:bCs/>
          <w:sz w:val="32"/>
          <w:szCs w:val="32"/>
        </w:rPr>
        <w:t xml:space="preserve">8. Policy Recommendations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Recommendation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Implementation Guidance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Mandatory Fairness Audits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Quarterly disparate impact audits per EEOC 80% rule. Results published to a public transparency portal. Auditor independence required — not the deploying agency.</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Explainable Decisions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Every automated denial must include a SHAP-based explanation accessible to the applicant in plain language. Multilingual support required. Right to human review of automated decisions.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Differential Privacy in Reporting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Public reporting of subgroup statistics uses ε ≤ 2.0 Laplace mechanism. Internal audit systems maintain unperturbed values with access controls.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Human-in-the-Loop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Fraud flags and benefit terminations require human review before action. Algorithm is decision support, not decision maker. Caseworkers must be trained to override algorithmic recommendations.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Continuous Monitoring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Real-time fairness dashboards in production. Automated alerts on metric degradation. Quarterly model retraining audits. Model cards published for all deployed systems.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Participatory Design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Affected communities included in system design, testing, and oversight. Community advisory boards with genuine decision-making authority. Compensation for community time (Costanza-Chock 2020, Design Justice).</w:t>
            </w:r>
          </w:p>
        </w:tc>
      </w:tr>
    </w:tbl>
    <w:p>
      <w:pPr>
        <w:pBdr>
          <w:bottom w:val="single" w:color="2563EB" w:sz="4" w:space="4"/>
        </w:pBdr>
        <w:spacing w:before="120" w:after="120"/>
      </w:pPr>
    </w:p>
    <w:p>
      <w:pPr>
        <w:pStyle w:val="Heading1"/>
        <w:spacing w:before="480" w:after="160"/>
      </w:pPr>
      <w:r>
        <w:rPr>
          <w:rFonts w:ascii="Arial" w:cs="Arial" w:eastAsia="Arial" w:hAnsi="Arial"/>
          <w:b/>
          <w:bCs/>
          <w:sz w:val="32"/>
          <w:szCs w:val="32"/>
        </w:rPr>
        <w:t xml:space="preserve">9. References</w:t>
      </w:r>
    </w:p>
    <w:p>
      <w:pPr>
        <w:spacing w:before="60" w:after="120" w:line="320"/>
      </w:pPr>
      <w:r>
        <w:rPr>
          <w:rFonts w:ascii="Arial" w:cs="Arial" w:eastAsia="Arial" w:hAnsi="Arial"/>
          <w:sz w:val="22"/>
          <w:szCs w:val="22"/>
        </w:rPr>
        <w:t xml:space="preserve">Bartlett, R., Morse, A., Stanton, R., &amp; Wallace, N. (2019). Consumer-Lending Discrimination in the FinTech Era. Journal of Financial Economics.</w:t>
      </w:r>
    </w:p>
    <w:p>
      <w:pPr>
        <w:spacing w:before="60" w:after="120" w:line="320"/>
      </w:pPr>
      <w:r>
        <w:rPr>
          <w:rFonts w:ascii="Arial" w:cs="Arial" w:eastAsia="Arial" w:hAnsi="Arial"/>
          <w:sz w:val="22"/>
          <w:szCs w:val="22"/>
        </w:rPr>
        <w:t xml:space="preserve">Benjamin, R. (2019). Race After Technology: Abolitionist Tools for the New Jim Code. Polity Press.</w:t>
      </w:r>
    </w:p>
    <w:p>
      <w:pPr>
        <w:spacing w:before="60" w:after="120" w:line="320"/>
      </w:pPr>
      <w:r>
        <w:rPr>
          <w:rFonts w:ascii="Arial" w:cs="Arial" w:eastAsia="Arial" w:hAnsi="Arial"/>
          <w:sz w:val="22"/>
          <w:szCs w:val="22"/>
        </w:rPr>
        <w:t xml:space="preserve">Caplan, R. (2017). When Data Systems Go Wrong. Data &amp; Society Research Institute.</w:t>
      </w:r>
    </w:p>
    <w:p>
      <w:pPr>
        <w:spacing w:before="60" w:after="120" w:line="320"/>
      </w:pPr>
      <w:r>
        <w:rPr>
          <w:rFonts w:ascii="Arial" w:cs="Arial" w:eastAsia="Arial" w:hAnsi="Arial"/>
          <w:sz w:val="22"/>
          <w:szCs w:val="22"/>
        </w:rPr>
        <w:t xml:space="preserve">Chouldechova, A. (2017). Fair Prediction with Disparate Impact: A Study of Bias in Recidivism Prediction Instruments. Big Data, 5(2).</w:t>
      </w:r>
    </w:p>
    <w:p>
      <w:pPr>
        <w:spacing w:before="60" w:after="120" w:line="320"/>
      </w:pPr>
      <w:r>
        <w:rPr>
          <w:rFonts w:ascii="Arial" w:cs="Arial" w:eastAsia="Arial" w:hAnsi="Arial"/>
          <w:sz w:val="22"/>
          <w:szCs w:val="22"/>
        </w:rPr>
        <w:t xml:space="preserve">Costanza-Chock, S. (2020). Design Justice: Community-Led Practices to Build the Worlds We Need. MIT Press.</w:t>
      </w:r>
    </w:p>
    <w:p>
      <w:pPr>
        <w:spacing w:before="60" w:after="120" w:line="320"/>
      </w:pPr>
      <w:r>
        <w:rPr>
          <w:rFonts w:ascii="Arial" w:cs="Arial" w:eastAsia="Arial" w:hAnsi="Arial"/>
          <w:sz w:val="22"/>
          <w:szCs w:val="22"/>
        </w:rPr>
        <w:t xml:space="preserve">Dwork, C. (2006). Differential Privacy. In ICALP. Springer LNCS 4052.</w:t>
      </w:r>
    </w:p>
    <w:p>
      <w:pPr>
        <w:spacing w:before="60" w:after="120" w:line="320"/>
      </w:pPr>
      <w:r>
        <w:rPr>
          <w:rFonts w:ascii="Arial" w:cs="Arial" w:eastAsia="Arial" w:hAnsi="Arial"/>
          <w:sz w:val="22"/>
          <w:szCs w:val="22"/>
        </w:rPr>
        <w:t xml:space="preserve">Dwork, C., Hardt, M., Pitassi, T., Reingold, O., &amp; Zemel, R. (2012). Fairness Through Awareness. ITCS 2012.</w:t>
      </w:r>
    </w:p>
    <w:p>
      <w:pPr>
        <w:spacing w:before="60" w:after="120" w:line="320"/>
      </w:pPr>
      <w:r>
        <w:rPr>
          <w:rFonts w:ascii="Arial" w:cs="Arial" w:eastAsia="Arial" w:hAnsi="Arial"/>
          <w:sz w:val="22"/>
          <w:szCs w:val="22"/>
        </w:rPr>
        <w:t xml:space="preserve">Eubanks, V. (2018). Automating Inequality: How High-Tech Tools Profile, Police, and Punish the Poor. St. Martin's Press.</w:t>
      </w:r>
    </w:p>
    <w:p>
      <w:pPr>
        <w:spacing w:before="60" w:after="120" w:line="320"/>
      </w:pPr>
      <w:r>
        <w:rPr>
          <w:rFonts w:ascii="Arial" w:cs="Arial" w:eastAsia="Arial" w:hAnsi="Arial"/>
          <w:sz w:val="22"/>
          <w:szCs w:val="22"/>
        </w:rPr>
        <w:t xml:space="preserve">Hardt, M., Price, E., &amp; Srebro, N. (2016). Equality of Opportunity in Supervised Learning. NeurIPS 2016.</w:t>
      </w:r>
    </w:p>
    <w:p>
      <w:pPr>
        <w:spacing w:before="60" w:after="120" w:line="320"/>
      </w:pPr>
      <w:r>
        <w:rPr>
          <w:rFonts w:ascii="Arial" w:cs="Arial" w:eastAsia="Arial" w:hAnsi="Arial"/>
          <w:sz w:val="22"/>
          <w:szCs w:val="22"/>
        </w:rPr>
        <w:t xml:space="preserve">IBM AIF360. (2018). AI Fairness 360: An Extensible Toolkit for Detecting, Understanding, and Mitigating Unwanted Algorithmic Bias. arxiv:1810.01943.</w:t>
      </w:r>
    </w:p>
    <w:p>
      <w:pPr>
        <w:spacing w:before="60" w:after="120" w:line="320"/>
      </w:pPr>
      <w:r>
        <w:rPr>
          <w:rFonts w:ascii="Arial" w:cs="Arial" w:eastAsia="Arial" w:hAnsi="Arial"/>
          <w:sz w:val="22"/>
          <w:szCs w:val="22"/>
        </w:rPr>
        <w:t xml:space="preserve">Kamiran, F., &amp; Calders, T. (2012). Data Preprocessing Techniques for Classification Without Discrimination. Knowledge and Information Systems, 33(1).</w:t>
      </w:r>
    </w:p>
    <w:p>
      <w:pPr>
        <w:spacing w:before="60" w:after="120" w:line="320"/>
      </w:pPr>
      <w:r>
        <w:rPr>
          <w:rFonts w:ascii="Arial" w:cs="Arial" w:eastAsia="Arial" w:hAnsi="Arial"/>
          <w:sz w:val="22"/>
          <w:szCs w:val="22"/>
        </w:rPr>
        <w:t xml:space="preserve">Keith-Jennings, B., &amp; Chaudhry, R. (2018). SNAP Provides Needed Food Assistance to Millions of People with Disabilities. Center on Budget and Policy Priorities.</w:t>
      </w:r>
    </w:p>
    <w:p>
      <w:pPr>
        <w:spacing w:before="60" w:after="120" w:line="320"/>
      </w:pPr>
      <w:r>
        <w:rPr>
          <w:rFonts w:ascii="Arial" w:cs="Arial" w:eastAsia="Arial" w:hAnsi="Arial"/>
          <w:sz w:val="22"/>
          <w:szCs w:val="22"/>
        </w:rPr>
        <w:t xml:space="preserve">Kleinberg, J., Mullainathan, S., &amp; Raghavan, M. (2016). Inherent Trade-Offs in the Fair Determination of Risk Scores. ITCS 2017.</w:t>
      </w:r>
    </w:p>
    <w:p>
      <w:pPr>
        <w:spacing w:before="60" w:after="120" w:line="320"/>
      </w:pPr>
      <w:r>
        <w:rPr>
          <w:rFonts w:ascii="Arial" w:cs="Arial" w:eastAsia="Arial" w:hAnsi="Arial"/>
          <w:sz w:val="22"/>
          <w:szCs w:val="22"/>
        </w:rPr>
        <w:t xml:space="preserve">Lundberg, S., &amp; Lee, S.I. (2017). A Unified Approach to Interpreting Model Predictions (SHAP). NeurIPS 2017.</w:t>
      </w:r>
    </w:p>
    <w:p>
      <w:pPr>
        <w:spacing w:before="60" w:after="120" w:line="320"/>
      </w:pPr>
      <w:r>
        <w:rPr>
          <w:rFonts w:ascii="Arial" w:cs="Arial" w:eastAsia="Arial" w:hAnsi="Arial"/>
          <w:sz w:val="22"/>
          <w:szCs w:val="22"/>
        </w:rPr>
        <w:t xml:space="preserve">O'Neil, C. (2016). Weapons of Math Destruction: How Big Data Increases Inequality and Threatens Democracy. Crown Publishing.</w:t>
      </w:r>
    </w:p>
    <w:p>
      <w:pPr>
        <w:spacing w:before="60" w:after="120" w:line="320"/>
      </w:pPr>
      <w:r>
        <w:rPr>
          <w:rFonts w:ascii="Arial" w:cs="Arial" w:eastAsia="Arial" w:hAnsi="Arial"/>
          <w:sz w:val="22"/>
          <w:szCs w:val="22"/>
        </w:rPr>
        <w:t xml:space="preserve">Obermeyer, Z., Powers, B., Vogeli, C., &amp; Mullainathan, S. (2019). Dissecting Racial Bias in an Algorithm Used to Manage the Health of Populations. Science, 366(6464).</w:t>
      </w:r>
    </w:p>
    <w:p>
      <w:pPr>
        <w:spacing w:before="60" w:after="120" w:line="320"/>
      </w:pPr>
      <w:r>
        <w:rPr>
          <w:rFonts w:ascii="Arial" w:cs="Arial" w:eastAsia="Arial" w:hAnsi="Arial"/>
          <w:sz w:val="22"/>
          <w:szCs w:val="22"/>
        </w:rPr>
        <w:t xml:space="preserve">Richardson, R., Schultz, J., &amp; Crawford, K. (2019). Dirty Data, Bad Predictions: How Civil Rights Violations Impact Police Data, Predictive Policing Systems, and Justice. NYU Law Review.</w:t>
      </w:r>
    </w:p>
    <w:p>
      <w:pPr>
        <w:pBdr>
          <w:bottom w:val="single" w:color="2563EB" w:sz="4" w:space="4"/>
        </w:pBdr>
        <w:spacing w:before="120" w:after="120"/>
      </w:pPr>
    </w:p>
    <w:p>
      <w:pPr>
        <w:spacing w:before="60" w:after="60"/>
      </w:pPr>
    </w:p>
    <w:p>
      <w:pPr>
        <w:spacing w:before="240" w:after="240"/>
        <w:jc w:val="center"/>
      </w:pPr>
      <w:r>
        <w:rPr>
          <w:rFonts w:ascii="Arial" w:cs="Arial" w:eastAsia="Arial" w:hAnsi="Arial"/>
          <w:i/>
          <w:iCs/>
          <w:color w:val="888782"/>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782"/>
        <w:sz w:val="18"/>
        <w:szCs w:val="18"/>
      </w:rPr>
      <w:t xml:space="preserve">Fair ML for Public Welfare — March 2026  |  Research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jc w:val="right"/>
    </w:pPr>
    <w:r>
      <w:rPr>
        <w:rFonts w:ascii="Arial" w:cs="Arial" w:eastAsia="Arial" w:hAnsi="Arial"/>
        <w:color w:val="5A5955"/>
        <w:sz w:val="18"/>
        <w:szCs w:val="18"/>
      </w:rPr>
      <w:t xml:space="preserve">Fair ML for Public Welfare — Research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3A8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E40A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2026-03-19T06:58:48.223Z</dcterms:created>
  <dcterms:modified xsi:type="dcterms:W3CDTF">2026-03-19T06:58:48.223Z</dcterms:modified>
</cp:coreProperties>
</file>

<file path=docProps/custom.xml><?xml version="1.0" encoding="utf-8"?>
<Properties xmlns="http://schemas.openxmlformats.org/officeDocument/2006/custom-properties" xmlns:vt="http://schemas.openxmlformats.org/officeDocument/2006/docPropsVTypes"/>
</file>