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Baskerville SemiBold" w:cs="Arial Unicode MS" w:hAnsi="Arial Unicode MS" w:eastAsia="Arial Unicode MS"/>
          <w:rtl w:val="0"/>
        </w:rPr>
        <w:t xml:space="preserve">DEZSY09 </w:t>
      </w:r>
      <w:r>
        <w:rPr>
          <w:rFonts w:ascii="Baskerville SemiBold" w:cs="Arial Unicode MS" w:hAnsi="Arial Unicode MS" w:eastAsia="Arial Unicode MS"/>
          <w:rtl w:val="0"/>
        </w:rPr>
        <w:t>GPGPU</w:t>
      </w:r>
    </w:p>
    <w:p>
      <w:pPr>
        <w:pStyle w:val="Subheading"/>
        <w:bidi w:val="0"/>
      </w:pPr>
      <w:r>
        <w:rPr>
          <w:rFonts w:ascii="Baskerville" w:cs="Arial Unicode MS" w:hAnsi="Arial Unicode MS" w:eastAsia="Arial Unicode MS"/>
          <w:rtl w:val="0"/>
        </w:rPr>
        <w:t>A</w:t>
      </w:r>
      <w:r>
        <w:rPr>
          <w:rFonts w:ascii="Baskerville" w:cs="Arial Unicode MS" w:hAnsi="Arial Unicode MS" w:eastAsia="Arial Unicode MS"/>
          <w:rtl w:val="0"/>
        </w:rPr>
        <w:t>yvazyan</w:t>
      </w:r>
      <w:r>
        <w:rPr>
          <w:rFonts w:ascii="Baskerville" w:cs="Arial Unicode MS" w:hAnsi="Arial Unicode MS" w:eastAsia="Arial Unicode MS"/>
          <w:rtl w:val="0"/>
        </w:rPr>
        <w:t xml:space="preserve"> Ari, Brunner Helmuth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529989</wp:posOffset>
            </wp:positionH>
            <wp:positionV relativeFrom="line">
              <wp:posOffset>483869</wp:posOffset>
            </wp:positionV>
            <wp:extent cx="4655022" cy="57277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quj6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022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de-DE"/>
        </w:rPr>
        <w:t>TGM Wien</w:t>
      </w:r>
    </w:p>
    <w:p>
      <w:pPr>
        <w:pStyle w:val="Body"/>
        <w:jc w:val="center"/>
      </w:pPr>
      <w:r>
        <w:rPr>
          <w:rtl w:val="0"/>
          <w:lang w:val="de-DE"/>
        </w:rPr>
        <w:t>21.04.2015</w:t>
        <w:br w:type="page"/>
      </w:r>
    </w:p>
    <w:p>
      <w:pPr>
        <w:pStyle w:val="Heading"/>
        <w:bidi w:val="0"/>
      </w:pPr>
      <w:r>
        <w:rPr>
          <w:rFonts w:ascii="Baskerville SemiBold" w:cs="Arial Unicode MS" w:hAnsi="Arial Unicode MS" w:eastAsia="Arial Unicode MS"/>
          <w:rtl w:val="0"/>
        </w:rPr>
        <w:t>Inhaltsverzeichnis</w:t>
      </w:r>
    </w:p>
    <w:p>
      <w:pPr>
        <w:pStyle w:val="Body 2"/>
        <w:bidi w:val="0"/>
      </w:pPr>
    </w:p>
    <w:p>
      <w:pPr>
        <w:pStyle w:val="Heading"/>
        <w:bidi w:val="0"/>
      </w:pPr>
      <w:bookmarkStart w:name="_TOCRange" w:id="0"/>
      <w:r>
        <w:rPr/>
        <w:fldChar w:fldCharType="begin" w:fldLock="0"/>
      </w:r>
      <w:r>
        <w:t xml:space="preserve"> TOC \t "Heading, 1"\b _TOCRange </w:t>
      </w:r>
      <w:r>
        <w:rPr/>
        <w:fldChar w:fldCharType="separate" w:fldLock="0"/>
      </w:r>
    </w:p>
    <w:p>
      <w:pPr>
        <w:keepNext w:val="1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60" w:line="240" w:lineRule="auto"/>
        <w:ind w:left="0" w:right="0" w:firstLine="0"/>
        <w:jc w:val="left"/>
        <w:outlineLvl w:val="9"/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de-DE"/>
        </w:rPr>
        <w:t>Aufgabenstellung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</w:rPr>
        <w:t xml:space="preserve"> PAGEREF _Toc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3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keepNext w:val="1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6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  <w:rtl w:val="0"/>
          <w:lang w:val="de-DE"/>
        </w:rPr>
        <w:t>Vorteile von GPGPU</w:t>
        <w:tab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begin" w:fldLock="0"/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</w:rPr>
        <w:t xml:space="preserve"> PAGEREF _Toc1 \h 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separate" w:fldLock="0"/>
      </w:r>
      <w:r>
        <w:rPr>
          <w:rFonts w:ascii="Baskerville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  <w:rtl w:val="0"/>
        </w:rPr>
        <w:t>4</w:t>
      </w:r>
      <w:r>
        <w:rPr>
          <w:rFonts w:ascii="Baskerville" w:cs="Baskerville" w:hAnsi="Baskerville" w:eastAsia="Baskervill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5a5754"/>
          <w:spacing w:val="0"/>
          <w:kern w:val="0"/>
          <w:position w:val="0"/>
          <w:sz w:val="28"/>
          <w:szCs w:val="28"/>
          <w:u w:val="none"/>
          <w:vertAlign w:val="baseline"/>
        </w:rPr>
        <w:fldChar w:fldCharType="end" w:fldLock="0"/>
      </w:r>
    </w:p>
    <w:p>
      <w:pPr>
        <w:pStyle w:val="Heading"/>
        <w:bidi w:val="0"/>
      </w:pPr>
      <w:r>
        <w:rPr/>
        <w:fldChar w:fldCharType="end" w:fldLock="0"/>
      </w:r>
      <w:r>
        <w:br w:type="page"/>
      </w:r>
    </w:p>
    <w:p>
      <w:pPr>
        <w:pStyle w:val="Heading"/>
        <w:bidi w:val="0"/>
      </w:pPr>
      <w:bookmarkStart w:name="_Toc" w:id="1"/>
      <w:r>
        <w:rPr>
          <w:rFonts w:ascii="Baskerville SemiBold" w:cs="Arial Unicode MS" w:hAnsi="Arial Unicode MS" w:eastAsia="Arial Unicode MS"/>
          <w:rtl w:val="0"/>
        </w:rPr>
        <w:t>Aufgabenstellung</w:t>
      </w:r>
      <w:bookmarkEnd w:id="1"/>
    </w:p>
    <w:p>
      <w:pPr>
        <w:pStyle w:val="Body 2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GPU Computing oder GPGPU(= General Purpose Computing on GPUs) bezeichnet die Verwendung eines Grafikprozessors (engl. Graphics Processing Unit oder GPU) 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 xml:space="preserve">r allgemeine Berechnungen im wissenschaftlich-technischen Bereich. 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bersetzt bedeutet GPGPU in etwa Allgemeine Berechnung auf Grafikprozessoren.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 xml:space="preserve">Informieren Sie sich 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ber die M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glichkeiten der Nutzung von GPUs in normalen Anwendungen. Zeigen Sie dazu im Gegensatz den Vorteil der GPUs in rechenintensiven Implementierungen auf [1Pkt]. Gibt es Entwicklungsumgebungen und in welchen Programmiersprachen kann man diese nutzen [1Pkt]? K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nnen bestehende Programme (C und Java) auf GPUs genutzt werden und was sind dabei die Grundvoraussetzungen daf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  <w:lang w:val="de-DE"/>
        </w:rPr>
        <w:t>r [1Pkt]? Gibt es transcompiler und wie kommen diese zum Einsatz [1Pkt]?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</w:rPr>
        <w:t>Pr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sentieren Sie an einem praktischen Beispiel den Nutzen dieser Technologie. W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hlen Sie zwei rechenintensive Algorithmen (z.B. Faktorisierung) und zeigen Sie in einem Benchmark welche Vorteile der Einsatz der vorhandenen GPU Hardware bringt [12Pkt]! Um auch einen Vergleich auf verschiedenen Platformen zu gew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hrleisten, bietet sich die Verwendung von OpenCL an.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de-DE"/>
        </w:rPr>
        <w:t>Diese Aufgabe ist als Gruppenarbeit (2) zu l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sen. Zus</w:t>
      </w:r>
      <w:r>
        <w:rPr>
          <w:rFonts w:ascii="Arial Unicode MS" w:cs="Arial Unicode MS" w:hAnsi="Baskerville" w:eastAsia="Arial Unicode MS" w:hint="default"/>
          <w:rtl w:val="0"/>
        </w:rPr>
        <w:t>ä</w:t>
      </w:r>
      <w:r>
        <w:rPr>
          <w:rFonts w:ascii="Baskerville" w:cs="Arial Unicode MS" w:hAnsi="Arial Unicode MS" w:eastAsia="Arial Unicode MS"/>
          <w:rtl w:val="0"/>
          <w:lang w:val="de-DE"/>
        </w:rPr>
        <w:t>tzliche Abgaben erh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hen die Gesamtpunkte und k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  <w:lang w:val="de-DE"/>
        </w:rPr>
        <w:t>nnen somit zur Notenverbesserung dienen.</w:t>
      </w:r>
    </w:p>
    <w:p>
      <w:pPr>
        <w:pStyle w:val="Body 2"/>
        <w:bidi w:val="0"/>
      </w:pPr>
    </w:p>
    <w:p>
      <w:pPr>
        <w:pStyle w:val="Body"/>
        <w:bidi w:val="0"/>
      </w:pPr>
      <w:r>
        <w:rPr>
          <w:rFonts w:ascii="Baskerville" w:cs="Arial Unicode MS" w:hAnsi="Arial Unicode MS" w:eastAsia="Arial Unicode MS"/>
          <w:rtl w:val="0"/>
          <w:lang w:val="fr-FR"/>
        </w:rPr>
        <w:t>Quellen</w:t>
      </w:r>
    </w:p>
    <w:p>
      <w:pPr>
        <w:pStyle w:val="Body"/>
        <w:bidi w:val="0"/>
      </w:pPr>
    </w:p>
    <w:p>
      <w:pPr>
        <w:pStyle w:val="Body"/>
        <w:rPr>
          <w:color w:val="4b7196"/>
          <w:u w:val="single"/>
        </w:rPr>
      </w:pPr>
      <w:hyperlink r:id="rId5" w:history="1">
        <w:r>
          <w:rPr>
            <w:rStyle w:val="Hyperlink.0"/>
            <w:color w:val="4b7196"/>
            <w:u w:val="single"/>
            <w:rtl w:val="0"/>
          </w:rPr>
          <w:t>http://www.nvidia.de/page/gpu_computing.html</w:t>
        </w:r>
      </w:hyperlink>
    </w:p>
    <w:p>
      <w:pPr>
        <w:pStyle w:val="Body"/>
        <w:rPr>
          <w:color w:val="4b7196"/>
          <w:u w:val="single"/>
        </w:rPr>
      </w:pPr>
      <w:hyperlink r:id="rId6" w:history="1">
        <w:r>
          <w:rPr>
            <w:rStyle w:val="Hyperlink.1"/>
            <w:color w:val="4b7196"/>
            <w:u w:val="single"/>
            <w:rtl w:val="0"/>
            <w:lang w:val="en-US"/>
          </w:rPr>
          <w:t>http://developer.nvidia.com/cuda-gpus</w:t>
        </w:r>
      </w:hyperlink>
    </w:p>
    <w:p>
      <w:pPr>
        <w:pStyle w:val="Body"/>
        <w:rPr>
          <w:color w:val="4b7196"/>
          <w:u w:val="single"/>
        </w:rPr>
      </w:pPr>
      <w:hyperlink r:id="rId7" w:history="1">
        <w:r>
          <w:rPr>
            <w:rStyle w:val="Hyperlink.2"/>
            <w:color w:val="4b7196"/>
            <w:u w:val="single"/>
            <w:rtl w:val="0"/>
            <w:lang w:val="en-US"/>
          </w:rPr>
          <w:t>http://people.maths.ox.ac.uk/gilesm/cuda/</w:t>
        </w:r>
      </w:hyperlink>
    </w:p>
    <w:p>
      <w:pPr>
        <w:pStyle w:val="Body"/>
      </w:pPr>
      <w:hyperlink r:id="rId8" w:history="1">
        <w:r>
          <w:rPr>
            <w:rStyle w:val="Hyperlink.3"/>
            <w:color w:val="4b7196"/>
            <w:u w:val="single"/>
            <w:rtl w:val="0"/>
          </w:rPr>
          <w:t>http://www.khronos.org/opencl/</w:t>
        </w:r>
      </w:hyperlink>
      <w:r>
        <w:rPr>
          <w:color w:val="4b7196"/>
          <w:u w:val="single"/>
        </w:rPr>
        <w:br w:type="page"/>
      </w:r>
    </w:p>
    <w:p>
      <w:pPr>
        <w:pStyle w:val="Heading"/>
        <w:bidi w:val="0"/>
      </w:pPr>
      <w:bookmarkStart w:name="_Toc1" w:id="2"/>
      <w:r>
        <w:rPr>
          <w:rFonts w:ascii="Baskerville SemiBold" w:cs="Arial Unicode MS" w:hAnsi="Arial Unicode MS" w:eastAsia="Arial Unicode MS"/>
          <w:rtl w:val="0"/>
        </w:rPr>
        <w:t>Vorteile von GPGPU</w:t>
      </w:r>
      <w:bookmarkEnd w:id="2"/>
    </w:p>
    <w:p>
      <w:pPr>
        <w:pStyle w:val="Body 2"/>
        <w:bidi w:val="0"/>
      </w:pPr>
    </w:p>
    <w:p>
      <w:pPr>
        <w:pStyle w:val="Body 2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de-DE"/>
        </w:rPr>
        <w:t>Zeigen Sie dazu im Gegensatz den Vorteil der GPUs in rechenintensiven Implementierungen auf [1Pkt].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</w:rPr>
        <w:t>GPGPU ist eine Programmierschnittstelle um Source-Code auf einer GPU ausf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>hren zu k</w:t>
      </w:r>
      <w:r>
        <w:rPr>
          <w:rFonts w:ascii="Arial Unicode MS" w:cs="Arial Unicode MS" w:hAnsi="Baskerville" w:eastAsia="Arial Unicode MS" w:hint="default"/>
          <w:rtl w:val="0"/>
        </w:rPr>
        <w:t>ö</w:t>
      </w:r>
      <w:r>
        <w:rPr>
          <w:rFonts w:ascii="Baskerville" w:cs="Arial Unicode MS" w:hAnsi="Arial Unicode MS" w:eastAsia="Arial Unicode MS"/>
          <w:rtl w:val="0"/>
        </w:rPr>
        <w:t>nnen. Weiters kann durch das auslagern von Berechnungen auf die GPU, die vorhandene Hardware, optimal ausgen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>tzt werden wenn diese gerade nicht gebraucht wird.</w:t>
      </w:r>
    </w:p>
    <w:p>
      <w:pPr>
        <w:pStyle w:val="Body 2"/>
        <w:bidi w:val="0"/>
      </w:pPr>
    </w:p>
    <w:p>
      <w:pPr>
        <w:pStyle w:val="Body 2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de-DE"/>
        </w:rPr>
        <w:t>Gibt es Entwicklungsumgebungen und in welchen Programmiersprachen kann man diese nutzen [1Pkt]?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</w:rPr>
        <w:t xml:space="preserve">Ja es gibt </w:t>
      </w:r>
      <w:r>
        <w:rPr>
          <w:rFonts w:ascii="Baskerville" w:cs="Arial Unicode MS" w:hAnsi="Arial Unicode MS" w:eastAsia="Arial Unicode MS"/>
          <w:rtl w:val="0"/>
        </w:rPr>
        <w:t>Entwicklungsumgebungen</w:t>
      </w:r>
      <w:r>
        <w:rPr>
          <w:rFonts w:ascii="Baskerville" w:cs="Arial Unicode MS" w:hAnsi="Arial Unicode MS" w:eastAsia="Arial Unicode MS"/>
          <w:rtl w:val="0"/>
        </w:rPr>
        <w:t xml:space="preserve"> die viele dieser werden direkt vom Hersteller zur Verf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>gung gestellt.</w:t>
      </w:r>
    </w:p>
    <w:p>
      <w:pPr>
        <w:pStyle w:val="Body 2"/>
        <w:bidi w:val="0"/>
      </w:pPr>
    </w:p>
    <w:p>
      <w:pPr>
        <w:pStyle w:val="Body 2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de-DE"/>
        </w:rPr>
        <w:t>Nsight-Eclipse-Edition: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</w:rPr>
        <w:t>Nsight-Eclipse-Edition ist eine Entwicklungsumgebung 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>r Nividias CUDA Implementation. Es werden die zwei Programmiersprachen CUDA C und C++ unterst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>tzt.</w:t>
      </w:r>
    </w:p>
    <w:p>
      <w:pPr>
        <w:pStyle w:val="Body 2"/>
        <w:bidi w:val="0"/>
      </w:pPr>
      <w:hyperlink r:id="rId9" w:history="1">
        <w:r>
          <w:rPr>
            <w:rStyle w:val="Hyperlink.4"/>
            <w:rFonts w:ascii="Baskerville" w:cs="Arial Unicode MS" w:hAnsi="Arial Unicode MS" w:eastAsia="Arial Unicode MS"/>
            <w:rtl w:val="0"/>
            <w:lang w:val="en-US"/>
          </w:rPr>
          <w:t>https://developer.nvidia.com/nsight-eclipse-edition</w:t>
        </w:r>
      </w:hyperlink>
    </w:p>
    <w:p>
      <w:pPr>
        <w:pStyle w:val="Body 2"/>
        <w:bidi w:val="0"/>
      </w:pPr>
    </w:p>
    <w:p>
      <w:pPr>
        <w:pStyle w:val="Body 2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SDAccel Development Environment</w:t>
      </w:r>
    </w:p>
    <w:p>
      <w:pPr>
        <w:pStyle w:val="Body 2"/>
        <w:bidi w:val="0"/>
      </w:pPr>
      <w:r>
        <w:rPr>
          <w:rFonts w:ascii="Baskerville" w:cs="Arial Unicode MS" w:hAnsi="Arial Unicode MS" w:eastAsia="Arial Unicode MS"/>
          <w:rtl w:val="0"/>
          <w:lang w:val="en-US"/>
        </w:rPr>
        <w:t>SDAccel Development Environment</w:t>
      </w:r>
      <w:r>
        <w:rPr>
          <w:rFonts w:ascii="Baskerville" w:cs="Arial Unicode MS" w:hAnsi="Arial Unicode MS" w:eastAsia="Arial Unicode MS"/>
          <w:rtl w:val="0"/>
        </w:rPr>
        <w:t>, ist eine Entwicklungsumgebung f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 xml:space="preserve">r OpenCL, C und    C++.  Diese wird </w:t>
      </w:r>
      <w:r>
        <w:rPr>
          <w:rFonts w:ascii="Arial Unicode MS" w:cs="Arial Unicode MS" w:hAnsi="Baskerville" w:eastAsia="Arial Unicode MS" w:hint="default"/>
          <w:rtl w:val="0"/>
        </w:rPr>
        <w:t>ü</w:t>
      </w:r>
      <w:r>
        <w:rPr>
          <w:rFonts w:ascii="Baskerville" w:cs="Arial Unicode MS" w:hAnsi="Arial Unicode MS" w:eastAsia="Arial Unicode MS"/>
          <w:rtl w:val="0"/>
        </w:rPr>
        <w:t>ber eine Eclipse integriertes Plugin in die Eclipse die eingebunden.</w:t>
      </w:r>
    </w:p>
    <w:p>
      <w:pPr>
        <w:pStyle w:val="Body 2"/>
        <w:bidi w:val="0"/>
      </w:pPr>
      <w:hyperlink r:id="rId10" w:history="1">
        <w:r>
          <w:rPr>
            <w:rStyle w:val="Hyperlink.4"/>
            <w:rFonts w:ascii="Baskerville" w:cs="Arial Unicode MS" w:hAnsi="Arial Unicode MS" w:eastAsia="Arial Unicode MS"/>
            <w:rtl w:val="0"/>
            <w:lang w:val="en-US"/>
          </w:rPr>
          <w:t>http://www.xilinx.com/products/design-tools/sdx.htm.html</w:t>
        </w:r>
      </w:hyperlink>
    </w:p>
    <w:p>
      <w:pPr>
        <w:pStyle w:val="Body 2"/>
        <w:bidi w:val="0"/>
      </w:pPr>
    </w:p>
    <w:p>
      <w:pPr>
        <w:pStyle w:val="Body 2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</w:rPr>
        <w:t>K</w:t>
      </w:r>
      <w:r>
        <w:rPr>
          <w:rFonts w:hAnsi="Baskerville SemiBold" w:hint="default"/>
          <w:rtl w:val="0"/>
        </w:rPr>
        <w:t>ö</w:t>
      </w:r>
      <w:r>
        <w:rPr>
          <w:rFonts w:ascii="Baskerville SemiBold"/>
          <w:rtl w:val="0"/>
          <w:lang w:val="de-DE"/>
        </w:rPr>
        <w:t>nnen bestehende Programme (C und Java) auf GPUs genutzt werden und was sind dabei die Grundvoraussetzungen daf</w:t>
      </w:r>
      <w:r>
        <w:rPr>
          <w:rFonts w:hAnsi="Baskerville SemiBold" w:hint="default"/>
          <w:rtl w:val="0"/>
        </w:rPr>
        <w:t>ü</w:t>
      </w:r>
      <w:r>
        <w:rPr>
          <w:rFonts w:ascii="Baskerville SemiBold"/>
          <w:rtl w:val="0"/>
        </w:rPr>
        <w:t>r</w:t>
      </w:r>
      <w:r>
        <w:rPr>
          <w:rFonts w:ascii="Baskerville SemiBold"/>
          <w:rtl w:val="0"/>
          <w:lang w:val="de-DE"/>
        </w:rPr>
        <w:t xml:space="preserve"> [1Pkt]?</w:t>
      </w:r>
      <w:bookmarkEnd w:id="0"/>
    </w:p>
    <w:sectPr>
      <w:headerReference w:type="default" r:id="rId11"/>
      <w:footerReference w:type="default" r:id="rId12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</w:tabs>
      <w:jc w:val="left"/>
    </w:pPr>
    <w:r>
      <w:rPr>
        <w:rtl w:val="0"/>
        <w:lang w:val="de-DE"/>
      </w:rPr>
      <w:t>GPGPU</w:t>
    </w: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de-DE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de-D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de-DE"/>
    </w:rPr>
  </w:style>
  <w:style w:type="paragraph" w:styleId="Subheading">
    <w:name w:val="Sub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de-D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0"/>
    </w:pPr>
    <w:rPr>
      <w:rFonts w:ascii="Baskerville SemiBold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OC 1 parent">
    <w:name w:val="TOC 1 parent"/>
    <w:next w:val="TOC 1 parent"/>
    <w:pPr>
      <w:keepNext w:val="1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</w:rPr>
  </w:style>
  <w:style w:type="paragraph" w:styleId="TOC 1">
    <w:name w:val="TOC 1"/>
    <w:basedOn w:val="TOC 1 parent"/>
    <w:next w:val="TOC 1 parent"/>
    <w:rPr>
      <w:sz w:val="28"/>
      <w:szCs w:val="28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yperlink" Target="http://www.nvidia.de/page/gpu_computing.html" TargetMode="External"/><Relationship Id="rId6" Type="http://schemas.openxmlformats.org/officeDocument/2006/relationships/hyperlink" Target="http://developer.nvidia.com/cuda-gpus" TargetMode="External"/><Relationship Id="rId7" Type="http://schemas.openxmlformats.org/officeDocument/2006/relationships/hyperlink" Target="http://people.maths.ox.ac.uk/gilesm/cuda/" TargetMode="External"/><Relationship Id="rId8" Type="http://schemas.openxmlformats.org/officeDocument/2006/relationships/hyperlink" Target="http://www.khronos.org/opencl/" TargetMode="External"/><Relationship Id="rId9" Type="http://schemas.openxmlformats.org/officeDocument/2006/relationships/hyperlink" Target="https://developer.nvidia.com/nsight-eclipse-edition" TargetMode="External"/><Relationship Id="rId10" Type="http://schemas.openxmlformats.org/officeDocument/2006/relationships/hyperlink" Target="http://www.xilinx.com/products/design-tools/sdx.htm.html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FFFFFF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D683D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