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40"/>
      </w:pPr>
      <w:r>
        <w:rPr>
          <w:rFonts w:ascii="Times New Roman" w:hAnsi="Times New Roman" w:cs="Times New Roman"/>
          <w:sz w:val="48"/>
          <w:sz-cs w:val="48"/>
          <w:b/>
          <w:spacing w:val="0"/>
        </w:rPr>
        <w:t xml:space="preserve">CHAPTER 2</w:t>
        <w:br/>
        <w:t xml:space="preserve">LITERATURE SURVEY</w:t>
      </w:r>
    </w:p>
    <w:p>
      <w:pPr>
        <w:spacing w:after="160"/>
      </w:pPr>
      <w:r>
        <w:rPr>
          <w:rFonts w:ascii="Times New Roman" w:hAnsi="Times New Roman" w:cs="Times New Roman"/>
          <w:sz w:val="37"/>
          <w:sz-cs w:val="37"/>
          <w:b/>
          <w:spacing w:val="0"/>
        </w:rPr>
        <w:t xml:space="preserve">2.1 Overview of AGV Navigation and Safety Standards</w:t>
      </w:r>
    </w:p>
    <w:p>
      <w:pPr>
        <w:jc w:val="both"/>
        <w:ind w:first-line="400"/>
        <w:spacing w:after="200"/>
      </w:pPr>
      <w:r>
        <w:rPr>
          <w:rFonts w:ascii="Times New Roman" w:hAnsi="Times New Roman" w:cs="Times New Roman"/>
          <w:sz w:val="32"/>
          <w:sz-cs w:val="32"/>
          <w:spacing w:val="0"/>
        </w:rPr>
        <w:t xml:space="preserve">Industrial mobile robot safety is strictly regulated by international safety standards such as </w:t>
      </w:r>
      <w:r>
        <w:rPr>
          <w:rFonts w:ascii="Times New Roman" w:hAnsi="Times New Roman" w:cs="Times New Roman"/>
          <w:sz w:val="32"/>
          <w:sz-cs w:val="32"/>
          <w:b/>
          <w:spacing w:val="0"/>
        </w:rPr>
        <w:t xml:space="preserve">ISO 3691-4:2020</w:t>
      </w:r>
      <w:r>
        <w:rPr>
          <w:rFonts w:ascii="Times New Roman" w:hAnsi="Times New Roman" w:cs="Times New Roman"/>
          <w:sz w:val="32"/>
          <w:sz-cs w:val="32"/>
          <w:spacing w:val="0"/>
        </w:rPr>
        <w:t xml:space="preserve"> (Industrial trucks — Safety requirements and verification — Driverless industrial trucks and their systems). The standard mandates that driverless trucks must be equipped with active personnel detection devices that dynamically adjust protective fields according to speed and steering angle, ensuring the vehicle stops before touching any person or obstacle.</w:t>
      </w:r>
    </w:p>
    <w:p>
      <w:pPr>
        <w:spacing w:after="160"/>
      </w:pPr>
      <w:r>
        <w:rPr>
          <w:rFonts w:ascii="Times New Roman" w:hAnsi="Times New Roman" w:cs="Times New Roman"/>
          <w:sz w:val="37"/>
          <w:sz-cs w:val="37"/>
          <w:b/>
          <w:spacing w:val="0"/>
        </w:rPr>
        <w:t xml:space="preserve">2.2 Sensor Technologies in Mobile Robotics</w:t>
      </w:r>
    </w:p>
    <w:p>
      <w:pPr>
        <w:jc w:val="both"/>
        <w:ind w:first-line="400"/>
        <w:spacing w:after="200"/>
      </w:pPr>
      <w:r>
        <w:rPr>
          <w:rFonts w:ascii="Times New Roman" w:hAnsi="Times New Roman" w:cs="Times New Roman"/>
          <w:sz w:val="32"/>
          <w:sz-cs w:val="32"/>
          <w:spacing w:val="0"/>
        </w:rPr>
        <w:t xml:space="preserve">Various sensing modalities are utilized in industrial mobile robotics:</w:t>
      </w:r>
    </w:p>
    <w:p>
      <w:pPr>
        <w:ind w:left="720" w:first-line="-720"/>
        <w:spacing w:after="8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Ultrasonic Sensors:</w:t>
      </w:r>
      <w:r>
        <w:rPr>
          <w:rFonts w:ascii="Times New Roman" w:hAnsi="Times New Roman" w:cs="Times New Roman"/>
          <w:sz w:val="32"/>
          <w:sz-cs w:val="32"/>
          <w:spacing w:val="0"/>
        </w:rPr>
        <w:t xml:space="preserve"> Inexpensive and effective for close-range detection, but suffer from low angular resolution, specular reflections, and slow acoustic time-of-flight refresh rates (~20 Hz).</w:t>
      </w:r>
    </w:p>
    <w:p>
      <w:pPr>
        <w:ind w:left="720" w:first-line="-720"/>
        <w:spacing w:after="8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2D LiDAR and Automotive Radar:</w:t>
      </w:r>
      <w:r>
        <w:rPr>
          <w:rFonts w:ascii="Times New Roman" w:hAnsi="Times New Roman" w:cs="Times New Roman"/>
          <w:sz w:val="32"/>
          <w:sz-cs w:val="32"/>
          <w:spacing w:val="0"/>
        </w:rPr>
        <w:t xml:space="preserve"> Provide high angular resolution and rapid scanning frequencies (20–50 Hz), capable of accurate range and Doppler velocity measurements across wide fields of view (90°–120°).</w:t>
      </w:r>
    </w:p>
    <w:p>
      <w:pPr>
        <w:spacing w:after="160"/>
      </w:pPr>
      <w:r>
        <w:rPr>
          <w:rFonts w:ascii="Times New Roman" w:hAnsi="Times New Roman" w:cs="Times New Roman"/>
          <w:sz w:val="37"/>
          <w:sz-cs w:val="37"/>
          <w:b/>
          <w:spacing w:val="0"/>
        </w:rPr>
        <w:t xml:space="preserve">2.3 Obstacle Avoidance Algorithms</w:t>
      </w:r>
    </w:p>
    <w:p>
      <w:pPr>
        <w:jc w:val="both"/>
        <w:ind w:first-line="400"/>
        <w:spacing w:after="200"/>
      </w:pPr>
      <w:r>
        <w:rPr>
          <w:rFonts w:ascii="Times New Roman" w:hAnsi="Times New Roman" w:cs="Times New Roman"/>
          <w:sz w:val="32"/>
          <w:sz-cs w:val="32"/>
          <w:spacing w:val="0"/>
        </w:rPr>
        <w:t xml:space="preserve">In real-time reactive navigation, the </w:t>
      </w:r>
      <w:r>
        <w:rPr>
          <w:rFonts w:ascii="Times New Roman" w:hAnsi="Times New Roman" w:cs="Times New Roman"/>
          <w:sz w:val="32"/>
          <w:sz-cs w:val="32"/>
          <w:b/>
          <w:spacing w:val="0"/>
        </w:rPr>
        <w:t xml:space="preserve">Artificial Potential Field (APF)</w:t>
      </w:r>
      <w:r>
        <w:rPr>
          <w:rFonts w:ascii="Times New Roman" w:hAnsi="Times New Roman" w:cs="Times New Roman"/>
          <w:sz w:val="32"/>
          <w:sz-cs w:val="32"/>
          <w:spacing w:val="0"/>
        </w:rPr>
        <w:t xml:space="preserve"> method, first introduced by O. Khatib (1986), models the robot as a particle moving in a virtual potential field. The destination exerts an attractive force, while obstacles exert repulsive forces inversely proportional to the square of Euclidean distance. While APF is computationally efficient and well-suited for embedded microcontrollers, standard APF can suffer from local minima and force cancellation in narrow corridors (gridlock). Our work extends APF with longitudinal corridor interval slicing to safely handle gridlock scenarios.</w:t>
      </w:r>
    </w:p>
    <w:p>
      <w:pPr>
        <w:spacing w:after="160"/>
      </w:pPr>
      <w:r>
        <w:rPr>
          <w:rFonts w:ascii="Times New Roman" w:hAnsi="Times New Roman" w:cs="Times New Roman"/>
          <w:sz w:val="37"/>
          <w:sz-cs w:val="37"/>
          <w:b/>
          <w:spacing w:val="0"/>
        </w:rPr>
        <w:t xml:space="preserve">2.4 Summary of Gaps in Existing Literature</w:t>
      </w:r>
    </w:p>
    <w:p>
      <w:pPr>
        <w:jc w:val="both"/>
        <w:ind w:first-line="400"/>
        <w:spacing w:after="200"/>
      </w:pPr>
      <w:r>
        <w:rPr>
          <w:rFonts w:ascii="Times New Roman" w:hAnsi="Times New Roman" w:cs="Times New Roman"/>
          <w:sz w:val="32"/>
          <w:sz-cs w:val="32"/>
          <w:spacing w:val="0"/>
        </w:rPr>
        <w:t xml:space="preserve">Many academic prototypes either rely on static geometric safety zones or complex global planners (like A* or RRT) that introduce high computational latency (&gt;100 ms). There is a need for a lightweight, deterministic C++ safety layer that pairs physical stopping distance equations with continuous APF steering and standard POSIX device driver abstractions.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