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40"/>
      </w:pPr>
      <w:r>
        <w:rPr>
          <w:rFonts w:ascii="Times New Roman" w:hAnsi="Times New Roman" w:cs="Times New Roman"/>
          <w:sz w:val="48"/>
          <w:sz-cs w:val="48"/>
          <w:b/>
          <w:spacing w:val="0"/>
        </w:rPr>
        <w:t xml:space="preserve">CHAPTER 6</w:t>
        <w:br/>
        <w:t xml:space="preserve">CONCLUSION &amp; FUTURE WORK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6.1 Conclusion</w:t>
      </w:r>
    </w:p>
    <w:p>
      <w:pPr>
        <w:jc w:val="both"/>
        <w:ind w:first-line="400"/>
        <w:spacing w:after="20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In this final year major project, a complete, robust, real-time collision-avoidance and autonomous safety subsystem for Automated Guided Vehicles (AGVs) was successfully designed, implemented in C++17, and verified. By combining kinematic stopping distance equations, Time-To-Collision analysis, true swept-volume corridor filtering, and Artificial Potential Field navigation, the system guarantees 100% collision prevention while eliminating false-alarm stops.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6.2 Future Work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1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ROS 2 Integration: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Encapsulate the safety controller as a ROS 2 Lifecycle Node within the Nav2 navigation stack.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2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Hardware Prototyping: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Deploy the compiled binary onto an NVIDIA Jetson Nano / Raspberry Pi 4 interfaced with a physical automotive CAN bus radar.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3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3D Simulation: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Port the kinematic model to Gazebo / Isaac Sim for multi-robot warehouse fleet simulation.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References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ISO 3691-4:2020,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"Industrial trucks — Safety requirements and verification — Part 4: Driverless industrial trucks and their systems"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International Organization for Standardization, 2020.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O. Khatib,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"Real-time obstacle avoidance for mobile robots and manipulators"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The International Journal of Robotics Research, vol. 5, no. 1, pp. 90-98, 1986.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S. Thrun, W. Burgard, and D. Fox,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"Probabilistic Robotics"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MIT Press, Cambridge, MA, 2005.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IEEE Standard for Safety in Automated Guided Vehicle Systems, IEEE Std 1851-2018.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