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0E601" w14:textId="39E2FDD5" w:rsidR="009D5C0D" w:rsidRDefault="00A81AE6">
      <w:r>
        <w:t>System Access configuration:</w:t>
      </w:r>
      <w:r>
        <w:br/>
      </w:r>
      <w:r>
        <w:br/>
      </w:r>
      <w:r w:rsidRPr="00A81AE6">
        <w:t>The System Access Configuration module serves as the platform's integration and authorization governance layer. It maintains the relationships between business capabilities, platform entitlements, and the underlying applications that deliver those capabilities. While the Platform Service Catalog defines what functionality is available to users, System Access Configuration defines how access is granted, managed, and enforced across both native and integrated systems.</w:t>
      </w:r>
      <w:r w:rsidRPr="00A81AE6">
        <w:rPr>
          <w:rFonts w:ascii="MS Gothic" w:eastAsia="MS Gothic" w:hAnsi="MS Gothic" w:cs="MS Gothic" w:hint="eastAsia"/>
        </w:rPr>
        <w:t> </w:t>
      </w:r>
      <w:r w:rsidRPr="00A81AE6">
        <w:br/>
        <w:t>This module provides administrators with a centralized view of all applications connected to the platform, including their authentication methods, authorization models, access mappings, and external dependencies. It acts as the translation layer between business-friendly permissions and the technical roles, licenses, groups, and entitlement structures used by each application.</w:t>
      </w:r>
      <w:r w:rsidRPr="00A81AE6">
        <w:rPr>
          <w:rFonts w:ascii="MS Gothic" w:eastAsia="MS Gothic" w:hAnsi="MS Gothic" w:cs="MS Gothic" w:hint="eastAsia"/>
        </w:rPr>
        <w:t>  </w:t>
      </w:r>
      <w:r w:rsidRPr="00A81AE6">
        <w:t>Purpose</w:t>
      </w:r>
      <w:r w:rsidRPr="00A81AE6">
        <w:br/>
      </w:r>
      <w:r w:rsidRPr="00A81AE6">
        <w:br/>
        <w:t>The primary purpose of System Access Configuration is to ensure that access can be consistently governed across a heterogeneous application ecosystem while presenting a simplified and unified access model to administrators.</w:t>
      </w:r>
      <w:r w:rsidRPr="00A81AE6">
        <w:br/>
      </w:r>
      <w:r w:rsidRPr="00A81AE6">
        <w:br/>
        <w:t>It enables organizations to:</w:t>
      </w:r>
      <w:r w:rsidRPr="00A81AE6">
        <w:br/>
        <w:t>Maintain an inventory of integrated and external applications.</w:t>
      </w:r>
      <w:r w:rsidRPr="00A81AE6">
        <w:br/>
        <w:t>Understand how users authenticate into each system.</w:t>
      </w:r>
      <w:r w:rsidRPr="00A81AE6">
        <w:br/>
        <w:t>Track where user authorization is managed.</w:t>
      </w:r>
      <w:r w:rsidRPr="00A81AE6">
        <w:br/>
        <w:t>Map platform functions to application-specific entitlements.</w:t>
      </w:r>
      <w:r w:rsidRPr="00A81AE6">
        <w:br/>
        <w:t>Align business access models with technical security models.</w:t>
      </w:r>
      <w:r w:rsidRPr="00A81AE6">
        <w:br/>
        <w:t>Simplify onboarding and permission administration.</w:t>
      </w:r>
      <w:r w:rsidRPr="00A81AE6">
        <w:br/>
        <w:t>Support audit, compliance, and governance activities.</w:t>
      </w:r>
      <w:r w:rsidRPr="00A81AE6">
        <w:br/>
        <w:t>Manage dependencies between platform capabilities and external systems.</w:t>
      </w:r>
    </w:p>
    <w:p w14:paraId="7B0B5333" w14:textId="77777777" w:rsidR="00A81AE6" w:rsidRDefault="00A81AE6"/>
    <w:p w14:paraId="657F4A06" w14:textId="4CF90727" w:rsidR="00A81AE6" w:rsidRDefault="00A81AE6">
      <w:r w:rsidRPr="00A81AE6">
        <w:drawing>
          <wp:inline distT="0" distB="0" distL="0" distR="0" wp14:anchorId="08944CAC" wp14:editId="3C4E0C5F">
            <wp:extent cx="9265126" cy="3486329"/>
            <wp:effectExtent l="0" t="0" r="0" b="0"/>
            <wp:docPr id="48069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90181" name=""/>
                    <pic:cNvPicPr/>
                  </pic:nvPicPr>
                  <pic:blipFill>
                    <a:blip r:embed="rId4"/>
                    <a:stretch>
                      <a:fillRect/>
                    </a:stretch>
                  </pic:blipFill>
                  <pic:spPr>
                    <a:xfrm>
                      <a:off x="0" y="0"/>
                      <a:ext cx="9265126" cy="3486329"/>
                    </a:xfrm>
                    <a:prstGeom prst="rect">
                      <a:avLst/>
                    </a:prstGeom>
                  </pic:spPr>
                </pic:pic>
              </a:graphicData>
            </a:graphic>
          </wp:inline>
        </w:drawing>
      </w:r>
    </w:p>
    <w:p w14:paraId="62AF7704" w14:textId="77777777" w:rsidR="00A81AE6" w:rsidRDefault="00A81AE6"/>
    <w:p w14:paraId="5D0F2BFF" w14:textId="77777777" w:rsidR="00A81AE6" w:rsidRPr="00A81AE6" w:rsidRDefault="00A81AE6" w:rsidP="00A81AE6">
      <w:r>
        <w:t>New Integrated system</w:t>
      </w:r>
      <w:r>
        <w:br/>
      </w:r>
      <w:r w:rsidRPr="00A81AE6">
        <w:t>Integration Mapping Configuration provides forms and tools to define, maintain, and validate mappings, registries, and data relationships between the platform and external systems to support seamless integration and data exchange.</w:t>
      </w:r>
      <w:r>
        <w:br/>
      </w:r>
      <w:r>
        <w:br/>
      </w:r>
      <w:r w:rsidRPr="00A81AE6">
        <w:t>External system integration registry</w:t>
      </w:r>
      <w:r>
        <w:t>:</w:t>
      </w:r>
      <w:r>
        <w:br/>
      </w:r>
      <w:r w:rsidRPr="00A81AE6">
        <w:t>The Integration Registry is a centralized configuration repository that maintains metadata, access management characteristics, and authorization mappings for all external systems integrated with the platform. Its purpose is to make the platform aware of how each integrated application authenticates users, manages user permissions, and receives entitlement assignments.</w:t>
      </w:r>
    </w:p>
    <w:p w14:paraId="2A17BA7E" w14:textId="77777777" w:rsidR="00A81AE6" w:rsidRPr="00A81AE6" w:rsidRDefault="00A81AE6" w:rsidP="00A81AE6"/>
    <w:p w14:paraId="6B5A39FB" w14:textId="77777777" w:rsidR="00A81AE6" w:rsidRPr="00A81AE6" w:rsidRDefault="00A81AE6" w:rsidP="00A81AE6">
      <w:r w:rsidRPr="00A81AE6">
        <w:t>The registry serves as the authoritative source for determining:</w:t>
      </w:r>
    </w:p>
    <w:p w14:paraId="7F6F3396" w14:textId="77777777" w:rsidR="00A81AE6" w:rsidRPr="00A81AE6" w:rsidRDefault="00A81AE6" w:rsidP="00A81AE6">
      <w:r w:rsidRPr="00A81AE6">
        <w:t>How users access an integrated system</w:t>
      </w:r>
    </w:p>
    <w:p w14:paraId="681B06CA" w14:textId="77777777" w:rsidR="00A81AE6" w:rsidRPr="00A81AE6" w:rsidRDefault="00A81AE6" w:rsidP="00A81AE6">
      <w:r w:rsidRPr="00A81AE6">
        <w:t>Where identity and access management responsibilities reside</w:t>
      </w:r>
    </w:p>
    <w:p w14:paraId="6FE0529D" w14:textId="77777777" w:rsidR="00A81AE6" w:rsidRPr="00A81AE6" w:rsidRDefault="00A81AE6" w:rsidP="00A81AE6">
      <w:r w:rsidRPr="00A81AE6">
        <w:t>Whether platform-driven provisioning is supported</w:t>
      </w:r>
    </w:p>
    <w:p w14:paraId="0BCE4C12" w14:textId="77777777" w:rsidR="00A81AE6" w:rsidRPr="00A81AE6" w:rsidRDefault="00A81AE6" w:rsidP="00A81AE6">
      <w:r w:rsidRPr="00A81AE6">
        <w:t>How platform functions map to permissions, roles, or groups within external systems</w:t>
      </w:r>
    </w:p>
    <w:p w14:paraId="04490BE9" w14:textId="77777777" w:rsidR="00A81AE6" w:rsidRPr="00A81AE6" w:rsidRDefault="00A81AE6" w:rsidP="00A81AE6">
      <w:r w:rsidRPr="00A81AE6">
        <w:t>What actions can be automated as part of user onboarding, maintenance, and deactivation workflows</w:t>
      </w:r>
    </w:p>
    <w:p w14:paraId="015A940F" w14:textId="77777777" w:rsidR="00A81AE6" w:rsidRPr="00A81AE6" w:rsidRDefault="00A81AE6" w:rsidP="00A81AE6"/>
    <w:p w14:paraId="403E874D" w14:textId="4A0E34AA" w:rsidR="00A81AE6" w:rsidRDefault="00A81AE6" w:rsidP="00A81AE6">
      <w:r w:rsidRPr="00A81AE6">
        <w:t>By standardizing system characteristics, the platform can provide a consistent user administration experience while supporting systems with varying security and authorization models.</w:t>
      </w:r>
      <w:r>
        <w:br/>
      </w:r>
      <w:r>
        <w:br/>
        <w:t>Integration Module:</w:t>
      </w:r>
      <w:r>
        <w:br/>
      </w:r>
      <w:r w:rsidRPr="00A81AE6">
        <w:t>Modal</w:t>
      </w:r>
      <w:r w:rsidRPr="00A81AE6">
        <w:br/>
        <w:t>Modal size: xxl</w:t>
      </w:r>
      <w:r w:rsidRPr="00A81AE6">
        <w:br/>
        <w:t>Modal alignment: right</w:t>
      </w:r>
      <w:r w:rsidRPr="00A81AE6">
        <w:br/>
      </w:r>
      <w:r w:rsidRPr="00A81AE6">
        <w:br/>
        <w:t>Modal Header</w:t>
      </w:r>
      <w:r w:rsidRPr="00A81AE6">
        <w:br/>
        <w:t>New integration</w:t>
      </w:r>
      <w:r>
        <w:br/>
      </w:r>
      <w:r>
        <w:br/>
        <w:t>system Details:</w:t>
      </w:r>
      <w:r>
        <w:br/>
      </w:r>
      <w:r>
        <w:br/>
      </w:r>
      <w:r w:rsidRPr="00A81AE6">
        <w:t>System Name: A unique business-friendly name for the integrated system.</w:t>
      </w:r>
      <w:r w:rsidRPr="00A81AE6">
        <w:rPr>
          <w:rFonts w:ascii="MS Gothic" w:eastAsia="MS Gothic" w:hAnsi="MS Gothic" w:cs="MS Gothic" w:hint="eastAsia"/>
        </w:rPr>
        <w:t> </w:t>
      </w:r>
      <w:r w:rsidRPr="00A81AE6">
        <w:t>System Description: A description explaining the purpose of the integrated application and the capabilities it provides.</w:t>
      </w:r>
      <w:r w:rsidRPr="00A81AE6">
        <w:br/>
        <w:t>Authentication Source: Identifies where user authentication is managed.</w:t>
      </w:r>
      <w:r w:rsidRPr="00A81AE6">
        <w:br/>
        <w:t>SSO - Authentication is managed by the platform through SSO or a shared identity provider</w:t>
      </w:r>
      <w:r w:rsidRPr="00A81AE6">
        <w:br/>
        <w:t>Sign in - Authentication is managed directly by the destination application.</w:t>
      </w:r>
      <w:r w:rsidRPr="00A81AE6">
        <w:br/>
        <w:t>Hybrid - Both platform and application authentication mechanisms are supported.</w:t>
      </w:r>
      <w:r w:rsidRPr="00A81AE6">
        <w:br/>
        <w:t>Authorization Source: Determines where user permissions are managed.</w:t>
      </w:r>
      <w:r w:rsidRPr="00A81AE6">
        <w:br/>
        <w:t>Internal - Permission assignment is managed within the platform.</w:t>
      </w:r>
      <w:r w:rsidRPr="00A81AE6">
        <w:br/>
        <w:t>External - Permission assignment is managed directly in the target application.</w:t>
      </w:r>
      <w:r w:rsidRPr="00A81AE6">
        <w:br/>
        <w:t>Hybrid - Some permissions are assigned in-platform while others are managed externally.</w:t>
      </w:r>
      <w:r>
        <w:br/>
      </w:r>
      <w:r>
        <w:br/>
      </w:r>
      <w:r>
        <w:br/>
      </w:r>
      <w:r w:rsidRPr="00A81AE6">
        <w:t>Function Assignment Mapping</w:t>
      </w:r>
      <w:r>
        <w:br/>
      </w:r>
      <w:r>
        <w:br/>
      </w:r>
      <w:r w:rsidRPr="00A81AE6">
        <w:t>The core purpose of the Integration Registry is to map platform business functions to external security assignments.</w:t>
      </w:r>
      <w:r w:rsidRPr="00A81AE6">
        <w:br/>
        <w:t>A single platform function may map to multiple external assignments.</w:t>
      </w:r>
      <w:r w:rsidRPr="00A81AE6">
        <w:br/>
      </w:r>
      <w:r w:rsidRPr="00A81AE6">
        <w:br/>
        <w:t>Platform Function</w:t>
      </w:r>
      <w:r w:rsidRPr="00A81AE6">
        <w:br/>
        <w:t>Represents a business function ( permission or entitlement) recognized by the platform.</w:t>
      </w:r>
      <w:r w:rsidRPr="00A81AE6">
        <w:br/>
      </w:r>
      <w:r w:rsidRPr="00A81AE6">
        <w:br/>
        <w:t>Examples:</w:t>
      </w:r>
      <w:r w:rsidRPr="00A81AE6">
        <w:br/>
        <w:t>Manage Clients</w:t>
      </w:r>
      <w:r w:rsidRPr="00A81AE6">
        <w:br/>
        <w:t>Manage Accounts</w:t>
      </w:r>
      <w:r w:rsidRPr="00A81AE6">
        <w:br/>
        <w:t>Manage Trading</w:t>
      </w:r>
      <w:r w:rsidRPr="00A81AE6">
        <w:br/>
        <w:t>Manage Reporting</w:t>
      </w:r>
      <w:r w:rsidRPr="00A81AE6">
        <w:br/>
        <w:t>Control Trading</w:t>
      </w:r>
      <w:r w:rsidRPr="00A81AE6">
        <w:br/>
        <w:t>Approve Transfers</w:t>
      </w:r>
      <w:r w:rsidRPr="00A81AE6">
        <w:br/>
      </w:r>
      <w:r w:rsidRPr="00A81AE6">
        <w:br/>
        <w:t xml:space="preserve">If the authorization type is External, the following mapping helps to enable that feature in the external system. </w:t>
      </w:r>
      <w:r w:rsidRPr="00A81AE6">
        <w:br/>
      </w:r>
      <w:r w:rsidRPr="00A81AE6">
        <w:br/>
        <w:t>Assignment Type</w:t>
      </w:r>
      <w:r w:rsidRPr="00A81AE6">
        <w:br/>
        <w:t>Specifies the security construct used by the external system.</w:t>
      </w:r>
      <w:r w:rsidRPr="00A81AE6">
        <w:br/>
        <w:t>Results in a list of instructions</w:t>
      </w:r>
      <w:r w:rsidRPr="00A81AE6">
        <w:br/>
      </w:r>
      <w:r w:rsidRPr="00A81AE6">
        <w:br/>
        <w:t>Role - Access granted through application roles</w:t>
      </w:r>
      <w:r w:rsidRPr="00A81AE6">
        <w:br/>
        <w:t>Group - Access granted through security groups</w:t>
      </w:r>
      <w:r w:rsidRPr="00A81AE6">
        <w:br/>
        <w:t>Permission - Access granted through individual permissions</w:t>
      </w:r>
      <w:r w:rsidRPr="00A81AE6">
        <w:br/>
        <w:t>Entitlement - Access granted through entitlement objects</w:t>
      </w:r>
      <w:r w:rsidRPr="00A81AE6">
        <w:br/>
        <w:t>License - Access tied to a product license</w:t>
      </w:r>
      <w:r w:rsidRPr="00A81AE6">
        <w:br/>
        <w:t>Custom - Custom assignment structure</w:t>
      </w:r>
      <w:r w:rsidRPr="00A81AE6">
        <w:br/>
      </w:r>
      <w:r w:rsidRPr="00A81AE6">
        <w:br/>
        <w:t>Assignment Value</w:t>
      </w:r>
      <w:r w:rsidRPr="00A81AE6">
        <w:br/>
        <w:t>The actual value that exists in the destination system.</w:t>
      </w:r>
      <w:r w:rsidRPr="00A81AE6">
        <w:br/>
      </w:r>
      <w:r w:rsidRPr="00A81AE6">
        <w:br/>
        <w:t>Examples</w:t>
      </w:r>
      <w:r w:rsidRPr="00A81AE6">
        <w:br/>
        <w:t>Trading Administrator</w:t>
      </w:r>
      <w:r w:rsidRPr="00A81AE6">
        <w:br/>
        <w:t>Operations Supervisor</w:t>
      </w:r>
      <w:r w:rsidRPr="00A81AE6">
        <w:br/>
        <w:t>Onboarding Advisor</w:t>
      </w:r>
      <w:r w:rsidRPr="00A81AE6">
        <w:br/>
        <w:t>Reporting User</w:t>
      </w:r>
      <w:r>
        <w:br/>
      </w:r>
      <w:r>
        <w:br/>
      </w:r>
      <w:r>
        <w:br/>
      </w:r>
      <w:r>
        <w:br/>
      </w:r>
      <w:r w:rsidRPr="00A81AE6">
        <w:drawing>
          <wp:inline distT="0" distB="0" distL="0" distR="0" wp14:anchorId="00A27240" wp14:editId="7305ADFB">
            <wp:extent cx="4711942" cy="4978656"/>
            <wp:effectExtent l="0" t="0" r="0" b="0"/>
            <wp:docPr id="107159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98321" name=""/>
                    <pic:cNvPicPr/>
                  </pic:nvPicPr>
                  <pic:blipFill>
                    <a:blip r:embed="rId5"/>
                    <a:stretch>
                      <a:fillRect/>
                    </a:stretch>
                  </pic:blipFill>
                  <pic:spPr>
                    <a:xfrm>
                      <a:off x="0" y="0"/>
                      <a:ext cx="4711942" cy="4978656"/>
                    </a:xfrm>
                    <a:prstGeom prst="rect">
                      <a:avLst/>
                    </a:prstGeom>
                  </pic:spPr>
                </pic:pic>
              </a:graphicData>
            </a:graphic>
          </wp:inline>
        </w:drawing>
      </w:r>
    </w:p>
    <w:p w14:paraId="67B904F6" w14:textId="1D04CFDA" w:rsidR="00A81AE6" w:rsidRDefault="00A81AE6">
      <w:r w:rsidRPr="00A81AE6">
        <w:drawing>
          <wp:inline distT="0" distB="0" distL="0" distR="0" wp14:anchorId="1354FD32" wp14:editId="3E822EF2">
            <wp:extent cx="4883401" cy="5207268"/>
            <wp:effectExtent l="0" t="0" r="0" b="0"/>
            <wp:docPr id="26772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29434" name=""/>
                    <pic:cNvPicPr/>
                  </pic:nvPicPr>
                  <pic:blipFill>
                    <a:blip r:embed="rId6"/>
                    <a:stretch>
                      <a:fillRect/>
                    </a:stretch>
                  </pic:blipFill>
                  <pic:spPr>
                    <a:xfrm>
                      <a:off x="0" y="0"/>
                      <a:ext cx="4883401" cy="5207268"/>
                    </a:xfrm>
                    <a:prstGeom prst="rect">
                      <a:avLst/>
                    </a:prstGeom>
                  </pic:spPr>
                </pic:pic>
              </a:graphicData>
            </a:graphic>
          </wp:inline>
        </w:drawing>
      </w:r>
      <w:r>
        <w:br/>
      </w:r>
      <w:r>
        <w:br/>
      </w:r>
      <w:r>
        <w:br/>
      </w:r>
      <w:r w:rsidRPr="00A81AE6">
        <w:drawing>
          <wp:inline distT="0" distB="0" distL="0" distR="0" wp14:anchorId="3B304DE8" wp14:editId="4729830A">
            <wp:extent cx="4788146" cy="5073911"/>
            <wp:effectExtent l="0" t="0" r="0" b="0"/>
            <wp:docPr id="167788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88189" name=""/>
                    <pic:cNvPicPr/>
                  </pic:nvPicPr>
                  <pic:blipFill>
                    <a:blip r:embed="rId7"/>
                    <a:stretch>
                      <a:fillRect/>
                    </a:stretch>
                  </pic:blipFill>
                  <pic:spPr>
                    <a:xfrm>
                      <a:off x="0" y="0"/>
                      <a:ext cx="4788146" cy="5073911"/>
                    </a:xfrm>
                    <a:prstGeom prst="rect">
                      <a:avLst/>
                    </a:prstGeom>
                  </pic:spPr>
                </pic:pic>
              </a:graphicData>
            </a:graphic>
          </wp:inline>
        </w:drawing>
      </w:r>
      <w:r>
        <w:br/>
      </w:r>
      <w:r>
        <w:br/>
      </w:r>
      <w:r>
        <w:br/>
      </w:r>
      <w:r>
        <w:br/>
      </w:r>
      <w:r w:rsidRPr="00A81AE6">
        <w:drawing>
          <wp:inline distT="0" distB="0" distL="0" distR="0" wp14:anchorId="0ADB887F" wp14:editId="23101CB9">
            <wp:extent cx="4578585" cy="4864350"/>
            <wp:effectExtent l="0" t="0" r="0" b="0"/>
            <wp:docPr id="21972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25818" name=""/>
                    <pic:cNvPicPr/>
                  </pic:nvPicPr>
                  <pic:blipFill>
                    <a:blip r:embed="rId8"/>
                    <a:stretch>
                      <a:fillRect/>
                    </a:stretch>
                  </pic:blipFill>
                  <pic:spPr>
                    <a:xfrm>
                      <a:off x="0" y="0"/>
                      <a:ext cx="4578585" cy="4864350"/>
                    </a:xfrm>
                    <a:prstGeom prst="rect">
                      <a:avLst/>
                    </a:prstGeom>
                  </pic:spPr>
                </pic:pic>
              </a:graphicData>
            </a:graphic>
          </wp:inline>
        </w:drawing>
      </w:r>
      <w:r>
        <w:br/>
      </w:r>
      <w:r>
        <w:br/>
      </w:r>
      <w:r>
        <w:br/>
      </w:r>
      <w:r w:rsidRPr="00A81AE6">
        <w:t>Platform Integration Specification: Anchor Platform (Compass)</w:t>
      </w:r>
      <w:r>
        <w:br/>
      </w:r>
      <w:r w:rsidRPr="00A81AE6">
        <w:t>The Compass Platform Integration serves as the authoritative system definition for the Compass ecosystem. Unlike other integrated systems, Compass acts as the anchor platform and therefore its core integration settings are system-defined and cannot be modified by administrators.</w:t>
      </w:r>
      <w:r w:rsidRPr="00A81AE6">
        <w:br/>
      </w:r>
      <w:r w:rsidRPr="00A81AE6">
        <w:br/>
        <w:t>The purpose of this configuration is to expose the full inventory of assignable platform capabilities, modules, functions, and external applications that can be referenced by user profiles, access groups, entitlement models, and security administration workflows. While the configuration information is visible for transparency and governance purposes, the core platform definition remains read-only to preserve alignment with the underlying Compass platform architecture.</w:t>
      </w:r>
      <w:r>
        <w:br/>
      </w:r>
      <w:r>
        <w:br/>
      </w:r>
      <w:r>
        <w:br/>
        <w:t>Business / Service:</w:t>
      </w:r>
      <w:r>
        <w:br/>
      </w:r>
      <w:r w:rsidRPr="00A81AE6">
        <w:t>Client Administration</w:t>
      </w:r>
      <w:r>
        <w:br/>
      </w:r>
      <w:r w:rsidRPr="00A81AE6">
        <w:br/>
        <w:t>Client Administration</w:t>
      </w:r>
      <w:r w:rsidRPr="00A81AE6">
        <w:br/>
        <w:t>Client &amp; Account Inquiry</w:t>
      </w:r>
      <w:r w:rsidRPr="00A81AE6">
        <w:br/>
        <w:t>Client Servicing</w:t>
      </w:r>
      <w:r w:rsidRPr="00A81AE6">
        <w:br/>
        <w:t>Communications</w:t>
      </w:r>
      <w:r w:rsidRPr="00A81AE6">
        <w:br/>
        <w:t>Data and Reporting</w:t>
      </w:r>
      <w:r w:rsidRPr="00A81AE6">
        <w:br/>
        <w:t>Feature Management</w:t>
      </w:r>
      <w:r w:rsidRPr="00A81AE6">
        <w:br/>
        <w:t>Fee Management</w:t>
      </w:r>
      <w:r w:rsidRPr="00A81AE6">
        <w:br/>
        <w:t>Firm Configuration</w:t>
      </w:r>
      <w:r w:rsidRPr="00A81AE6">
        <w:br/>
        <w:t>Investor Portal</w:t>
      </w:r>
      <w:r w:rsidRPr="00A81AE6">
        <w:br/>
        <w:t>Managed Portfolios</w:t>
      </w:r>
      <w:r w:rsidRPr="00A81AE6">
        <w:br/>
        <w:t>Order Management</w:t>
      </w:r>
      <w:r w:rsidRPr="00A81AE6">
        <w:br/>
        <w:t>Platform</w:t>
      </w:r>
      <w:r w:rsidRPr="00A81AE6">
        <w:br/>
        <w:t>Reference Data</w:t>
      </w:r>
      <w:r w:rsidRPr="00A81AE6">
        <w:br/>
        <w:t>Trade Operations</w:t>
      </w:r>
      <w:r w:rsidRPr="00A81AE6">
        <w:br/>
        <w:t>Trading Tools</w:t>
      </w:r>
      <w:r w:rsidRPr="00A81AE6">
        <w:br/>
        <w:t>User Access Management</w:t>
      </w:r>
      <w:r w:rsidRPr="00A81AE6">
        <w:br/>
        <w:t>External Applications</w:t>
      </w:r>
      <w:r>
        <w:br/>
      </w:r>
      <w:r>
        <w:br/>
      </w:r>
    </w:p>
    <w:p w14:paraId="67BCA3C9" w14:textId="77777777" w:rsidR="00CB42DC" w:rsidRDefault="00A81AE6">
      <w:r w:rsidRPr="00A81AE6">
        <w:drawing>
          <wp:inline distT="0" distB="0" distL="0" distR="0" wp14:anchorId="0CD744BB" wp14:editId="39748217">
            <wp:extent cx="3695890" cy="5315223"/>
            <wp:effectExtent l="0" t="0" r="0" b="0"/>
            <wp:docPr id="141152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23405" name=""/>
                    <pic:cNvPicPr/>
                  </pic:nvPicPr>
                  <pic:blipFill>
                    <a:blip r:embed="rId9"/>
                    <a:stretch>
                      <a:fillRect/>
                    </a:stretch>
                  </pic:blipFill>
                  <pic:spPr>
                    <a:xfrm>
                      <a:off x="0" y="0"/>
                      <a:ext cx="3695890" cy="5315223"/>
                    </a:xfrm>
                    <a:prstGeom prst="rect">
                      <a:avLst/>
                    </a:prstGeom>
                  </pic:spPr>
                </pic:pic>
              </a:graphicData>
            </a:graphic>
          </wp:inline>
        </w:drawing>
      </w:r>
      <w:r>
        <w:br/>
      </w:r>
      <w:r>
        <w:br/>
      </w:r>
      <w:r>
        <w:br/>
      </w:r>
      <w:r>
        <w:br/>
      </w:r>
      <w:r w:rsidR="00CB42DC" w:rsidRPr="00CB42DC">
        <w:drawing>
          <wp:inline distT="0" distB="0" distL="0" distR="0" wp14:anchorId="44BD2176" wp14:editId="26B977EC">
            <wp:extent cx="3619686" cy="5162815"/>
            <wp:effectExtent l="0" t="0" r="0" b="0"/>
            <wp:docPr id="96737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73530" name=""/>
                    <pic:cNvPicPr/>
                  </pic:nvPicPr>
                  <pic:blipFill>
                    <a:blip r:embed="rId10"/>
                    <a:stretch>
                      <a:fillRect/>
                    </a:stretch>
                  </pic:blipFill>
                  <pic:spPr>
                    <a:xfrm>
                      <a:off x="0" y="0"/>
                      <a:ext cx="3619686" cy="5162815"/>
                    </a:xfrm>
                    <a:prstGeom prst="rect">
                      <a:avLst/>
                    </a:prstGeom>
                  </pic:spPr>
                </pic:pic>
              </a:graphicData>
            </a:graphic>
          </wp:inline>
        </w:drawing>
      </w:r>
      <w:r w:rsidR="00CB42DC">
        <w:br/>
      </w:r>
      <w:r w:rsidR="00CB42DC">
        <w:br/>
      </w:r>
      <w:r w:rsidR="00CB42DC" w:rsidRPr="00CB42DC">
        <w:t>External system integration registry</w:t>
      </w:r>
      <w:r w:rsidR="00CB42DC">
        <w:t>:</w:t>
      </w:r>
      <w:r w:rsidR="00CB42DC">
        <w:br/>
      </w:r>
      <w:r w:rsidR="00CB42DC" w:rsidRPr="00CB42DC">
        <w:t>The Integration Registry is a centralized configuration repository that maintains metadata, access management characteristics, and authorization mappings for all external systems integrated with the platform. Its purpose is to make the platform aware of how each integrated application authenticates users, manages user permissions, and receives entitlement assignments.</w:t>
      </w:r>
      <w:r w:rsidR="00CB42DC" w:rsidRPr="00CB42DC">
        <w:br/>
      </w:r>
      <w:r w:rsidR="00CB42DC" w:rsidRPr="00CB42DC">
        <w:br/>
        <w:t>The registry serves as the authoritative source for determining:</w:t>
      </w:r>
      <w:r w:rsidR="00CB42DC" w:rsidRPr="00CB42DC">
        <w:br/>
        <w:t>How users access an integrated system</w:t>
      </w:r>
      <w:r w:rsidR="00CB42DC" w:rsidRPr="00CB42DC">
        <w:br/>
        <w:t>Where identity and access management responsibilities reside</w:t>
      </w:r>
      <w:r w:rsidR="00CB42DC" w:rsidRPr="00CB42DC">
        <w:br/>
        <w:t>Whether platform-driven provisioning is supported</w:t>
      </w:r>
      <w:r w:rsidR="00CB42DC" w:rsidRPr="00CB42DC">
        <w:br/>
        <w:t>How platform functions map to permissions, roles, or groups within external systems</w:t>
      </w:r>
      <w:r w:rsidR="00CB42DC" w:rsidRPr="00CB42DC">
        <w:br/>
        <w:t>What actions can be automated as part of user onboarding, maintenance, and deactivation workflows</w:t>
      </w:r>
      <w:r w:rsidR="00CB42DC" w:rsidRPr="00CB42DC">
        <w:br/>
      </w:r>
      <w:r w:rsidR="00CB42DC" w:rsidRPr="00CB42DC">
        <w:br/>
        <w:t>By standardizing system characteristics, the platform can provide a consistent user administration experience while supporting systems with varying security and authorization models.</w:t>
      </w:r>
      <w:r w:rsidR="00CB42DC">
        <w:br/>
      </w:r>
      <w:r w:rsidR="00CB42DC">
        <w:br/>
        <w:t>system Details:</w:t>
      </w:r>
      <w:r w:rsidR="00CB42DC">
        <w:br/>
      </w:r>
      <w:r w:rsidR="00CB42DC">
        <w:br/>
      </w:r>
      <w:r w:rsidR="00CB42DC" w:rsidRPr="00CB42DC">
        <w:t>System Identifier: Unique technical identifier used internally by the platform.</w:t>
      </w:r>
      <w:r w:rsidR="00CB42DC" w:rsidRPr="00CB42DC">
        <w:rPr>
          <w:rFonts w:ascii="MS Gothic" w:eastAsia="MS Gothic" w:hAnsi="MS Gothic" w:cs="MS Gothic" w:hint="eastAsia"/>
        </w:rPr>
        <w:t> </w:t>
      </w:r>
      <w:r w:rsidR="00CB42DC" w:rsidRPr="00CB42DC">
        <w:t>System Name: A unique business-friendly name for the integrated system.</w:t>
      </w:r>
      <w:r w:rsidR="00CB42DC" w:rsidRPr="00CB42DC">
        <w:rPr>
          <w:rFonts w:ascii="MS Gothic" w:eastAsia="MS Gothic" w:hAnsi="MS Gothic" w:cs="MS Gothic" w:hint="eastAsia"/>
        </w:rPr>
        <w:t> </w:t>
      </w:r>
      <w:r w:rsidR="00CB42DC" w:rsidRPr="00CB42DC">
        <w:t>System Description: A description explaining the purpose of the integrated application and the capabilities it provides.</w:t>
      </w:r>
      <w:r w:rsidR="00CB42DC" w:rsidRPr="00CB42DC">
        <w:br/>
        <w:t>Authentication Source: Identifies where user authentication is managed.</w:t>
      </w:r>
      <w:r w:rsidR="00CB42DC" w:rsidRPr="00CB42DC">
        <w:br/>
        <w:t>SSO - Authentication is managed by the platform through SSO or a shared identity provider</w:t>
      </w:r>
      <w:r w:rsidR="00CB42DC" w:rsidRPr="00CB42DC">
        <w:br/>
        <w:t>Platform Sign in - Authentication is managed directly by the destination application.</w:t>
      </w:r>
      <w:r w:rsidR="00CB42DC" w:rsidRPr="00CB42DC">
        <w:br/>
        <w:t>Hybrid - Both platform and application authentication mechanisms are supported.</w:t>
      </w:r>
      <w:r w:rsidR="00CB42DC" w:rsidRPr="00CB42DC">
        <w:br/>
        <w:t>External App - Not Connection with the platform</w:t>
      </w:r>
      <w:r w:rsidR="00CB42DC" w:rsidRPr="00CB42DC">
        <w:br/>
        <w:t>Authorization Source: Determines where user permissions are managed.</w:t>
      </w:r>
      <w:r w:rsidR="00CB42DC" w:rsidRPr="00CB42DC">
        <w:br/>
        <w:t>Internal Platform - Permission assignment is managed within the platform.</w:t>
      </w:r>
      <w:r w:rsidR="00CB42DC" w:rsidRPr="00CB42DC">
        <w:br/>
        <w:t>External App - Permission assignment is managed directly in the target application.</w:t>
      </w:r>
      <w:r w:rsidR="00CB42DC" w:rsidRPr="00CB42DC">
        <w:br/>
        <w:t>Hybrid - Some permissions are assigned in-platform while others are managed externally.</w:t>
      </w:r>
    </w:p>
    <w:p w14:paraId="311AE4EE" w14:textId="77777777" w:rsidR="00CB42DC" w:rsidRDefault="00CB42DC"/>
    <w:p w14:paraId="2FE76001" w14:textId="77777777" w:rsidR="00CB42DC" w:rsidRDefault="00CB42DC"/>
    <w:p w14:paraId="7F79AAC5" w14:textId="3835A2B2" w:rsidR="00A81AE6" w:rsidRDefault="00CB42DC">
      <w:r w:rsidRPr="00CB42DC">
        <w:t>Function Assignment Mapping</w:t>
      </w:r>
      <w:r>
        <w:t>:</w:t>
      </w:r>
      <w:r>
        <w:br/>
      </w:r>
      <w:r>
        <w:br/>
      </w:r>
      <w:r w:rsidRPr="00CB42DC">
        <w:t>The core purpose of the Integration Registry is to map platform business functions to external security assignments.</w:t>
      </w:r>
      <w:r w:rsidRPr="00CB42DC">
        <w:br/>
        <w:t>A single platform function may map to multiple external assignments.</w:t>
      </w:r>
      <w:r w:rsidRPr="00CB42DC">
        <w:br/>
      </w:r>
      <w:r w:rsidRPr="00CB42DC">
        <w:br/>
        <w:t>Platform Function</w:t>
      </w:r>
      <w:r w:rsidRPr="00CB42DC">
        <w:br/>
        <w:t>Represents a business capability recognized by the platform.</w:t>
      </w:r>
      <w:r w:rsidRPr="00CB42DC">
        <w:br/>
      </w:r>
      <w:r w:rsidRPr="00CB42DC">
        <w:br/>
        <w:t>Examples:</w:t>
      </w:r>
      <w:r w:rsidRPr="00CB42DC">
        <w:br/>
        <w:t>Manage Clients</w:t>
      </w:r>
      <w:r w:rsidRPr="00CB42DC">
        <w:br/>
        <w:t>Manage Accounts</w:t>
      </w:r>
      <w:r w:rsidRPr="00CB42DC">
        <w:br/>
        <w:t>Manage Trading</w:t>
      </w:r>
      <w:r w:rsidRPr="00CB42DC">
        <w:br/>
        <w:t>Manage Reporting</w:t>
      </w:r>
      <w:r w:rsidRPr="00CB42DC">
        <w:br/>
        <w:t>Control Trading</w:t>
      </w:r>
      <w:r w:rsidRPr="00CB42DC">
        <w:br/>
        <w:t>Approve Transfers</w:t>
      </w:r>
      <w:r w:rsidRPr="00CB42DC">
        <w:br/>
      </w:r>
      <w:r w:rsidRPr="00CB42DC">
        <w:br/>
      </w:r>
      <w:r w:rsidRPr="00CB42DC">
        <w:br/>
        <w:t>Assignment Type</w:t>
      </w:r>
      <w:r w:rsidRPr="00CB42DC">
        <w:br/>
        <w:t>Specifies the security construct used by the external system.</w:t>
      </w:r>
      <w:r w:rsidRPr="00CB42DC">
        <w:br/>
        <w:t>Results in a list of instructions</w:t>
      </w:r>
      <w:r w:rsidRPr="00CB42DC">
        <w:br/>
      </w:r>
      <w:r w:rsidRPr="00CB42DC">
        <w:br/>
        <w:t>Role - Access granted through application roles</w:t>
      </w:r>
      <w:r w:rsidRPr="00CB42DC">
        <w:br/>
        <w:t>Group - Access granted through security groups</w:t>
      </w:r>
      <w:r w:rsidRPr="00CB42DC">
        <w:br/>
        <w:t>Permission - Access granted through individual permissions</w:t>
      </w:r>
      <w:r w:rsidRPr="00CB42DC">
        <w:br/>
        <w:t>Entitlement - Access granted through entitlement objects</w:t>
      </w:r>
      <w:r w:rsidRPr="00CB42DC">
        <w:br/>
        <w:t>License - Access tied to a product license</w:t>
      </w:r>
      <w:r w:rsidRPr="00CB42DC">
        <w:br/>
        <w:t>Custom - Custom assignment structure</w:t>
      </w:r>
      <w:r w:rsidRPr="00CB42DC">
        <w:br/>
      </w:r>
      <w:r w:rsidRPr="00CB42DC">
        <w:br/>
        <w:t>Assignment Value</w:t>
      </w:r>
      <w:r w:rsidRPr="00CB42DC">
        <w:br/>
        <w:t>The actual value that exists in the destination system.</w:t>
      </w:r>
      <w:r w:rsidRPr="00CB42DC">
        <w:br/>
      </w:r>
      <w:r w:rsidRPr="00CB42DC">
        <w:br/>
        <w:t>Examples</w:t>
      </w:r>
      <w:r w:rsidRPr="00CB42DC">
        <w:br/>
        <w:t>Trading Administrator</w:t>
      </w:r>
      <w:r w:rsidRPr="00CB42DC">
        <w:br/>
        <w:t>Operations Supervisor</w:t>
      </w:r>
      <w:r w:rsidRPr="00CB42DC">
        <w:br/>
        <w:t>Onboarding Advisor</w:t>
      </w:r>
      <w:r w:rsidRPr="00CB42DC">
        <w:br/>
        <w:t>Reporting User</w:t>
      </w:r>
      <w:r>
        <w:br/>
      </w:r>
      <w:r>
        <w:br/>
      </w:r>
      <w:r>
        <w:br/>
      </w:r>
      <w:r>
        <w:br/>
      </w:r>
      <w:r>
        <w:br/>
      </w:r>
      <w:r>
        <w:br/>
      </w:r>
      <w:r>
        <w:br/>
      </w:r>
      <w:r w:rsidRPr="00CB42DC">
        <w:drawing>
          <wp:inline distT="0" distB="0" distL="0" distR="0" wp14:anchorId="73A2B782" wp14:editId="4466DB28">
            <wp:extent cx="5226319" cy="5353325"/>
            <wp:effectExtent l="0" t="0" r="0" b="0"/>
            <wp:docPr id="90132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25031" name=""/>
                    <pic:cNvPicPr/>
                  </pic:nvPicPr>
                  <pic:blipFill>
                    <a:blip r:embed="rId11"/>
                    <a:stretch>
                      <a:fillRect/>
                    </a:stretch>
                  </pic:blipFill>
                  <pic:spPr>
                    <a:xfrm>
                      <a:off x="0" y="0"/>
                      <a:ext cx="5226319" cy="5353325"/>
                    </a:xfrm>
                    <a:prstGeom prst="rect">
                      <a:avLst/>
                    </a:prstGeom>
                  </pic:spPr>
                </pic:pic>
              </a:graphicData>
            </a:graphic>
          </wp:inline>
        </w:drawing>
      </w:r>
      <w:r w:rsidR="00A81AE6">
        <w:br/>
      </w:r>
    </w:p>
    <w:p w14:paraId="08D05D67" w14:textId="1DD9CFA4" w:rsidR="00A81AE6" w:rsidRDefault="00A81AE6"/>
    <w:p w14:paraId="3DD876AA" w14:textId="77777777" w:rsidR="00CB42DC" w:rsidRDefault="00CB42DC"/>
    <w:p w14:paraId="1290F3F2" w14:textId="77777777" w:rsidR="00CB42DC" w:rsidRDefault="00CB42DC"/>
    <w:p w14:paraId="2394A1B6" w14:textId="13095A3D" w:rsidR="00CB42DC" w:rsidRDefault="00CB42DC">
      <w:r w:rsidRPr="00CB42DC">
        <w:drawing>
          <wp:inline distT="0" distB="0" distL="0" distR="0" wp14:anchorId="68D78942" wp14:editId="2FB9A489">
            <wp:extent cx="13690600" cy="20117435"/>
            <wp:effectExtent l="0" t="0" r="6350" b="0"/>
            <wp:docPr id="210105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58627" name=""/>
                    <pic:cNvPicPr/>
                  </pic:nvPicPr>
                  <pic:blipFill>
                    <a:blip r:embed="rId12"/>
                    <a:stretch>
                      <a:fillRect/>
                    </a:stretch>
                  </pic:blipFill>
                  <pic:spPr>
                    <a:xfrm>
                      <a:off x="0" y="0"/>
                      <a:ext cx="13690600" cy="20117435"/>
                    </a:xfrm>
                    <a:prstGeom prst="rect">
                      <a:avLst/>
                    </a:prstGeom>
                  </pic:spPr>
                </pic:pic>
              </a:graphicData>
            </a:graphic>
          </wp:inline>
        </w:drawing>
      </w:r>
    </w:p>
    <w:p w14:paraId="33565E10" w14:textId="77777777" w:rsidR="00CB42DC" w:rsidRDefault="00CB42DC"/>
    <w:p w14:paraId="63967380" w14:textId="698F5AAF" w:rsidR="00CB42DC" w:rsidRDefault="00CB42DC">
      <w:r w:rsidRPr="00CB42DC">
        <w:drawing>
          <wp:inline distT="0" distB="0" distL="0" distR="0" wp14:anchorId="3B96E123" wp14:editId="2647D555">
            <wp:extent cx="16376015" cy="20117435"/>
            <wp:effectExtent l="0" t="0" r="6985" b="0"/>
            <wp:docPr id="63464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42219" name=""/>
                    <pic:cNvPicPr/>
                  </pic:nvPicPr>
                  <pic:blipFill>
                    <a:blip r:embed="rId13"/>
                    <a:stretch>
                      <a:fillRect/>
                    </a:stretch>
                  </pic:blipFill>
                  <pic:spPr>
                    <a:xfrm>
                      <a:off x="0" y="0"/>
                      <a:ext cx="16376015" cy="20117435"/>
                    </a:xfrm>
                    <a:prstGeom prst="rect">
                      <a:avLst/>
                    </a:prstGeom>
                  </pic:spPr>
                </pic:pic>
              </a:graphicData>
            </a:graphic>
          </wp:inline>
        </w:drawing>
      </w:r>
    </w:p>
    <w:p w14:paraId="4CCBEE2A" w14:textId="77777777" w:rsidR="007F3FE6" w:rsidRDefault="007F3FE6"/>
    <w:p w14:paraId="2FBE2032" w14:textId="77777777" w:rsidR="007F3FE6" w:rsidRDefault="007F3FE6"/>
    <w:p w14:paraId="2C857CC9" w14:textId="77777777" w:rsidR="007F3FE6" w:rsidRDefault="007F3FE6"/>
    <w:p w14:paraId="5B1A7576" w14:textId="5CDB46B8" w:rsidR="007F3FE6" w:rsidRDefault="007F3FE6">
      <w:r w:rsidRPr="007F3FE6">
        <w:drawing>
          <wp:inline distT="0" distB="0" distL="0" distR="0" wp14:anchorId="6334EA6A" wp14:editId="7DC2F7D4">
            <wp:extent cx="20117435" cy="17699990"/>
            <wp:effectExtent l="0" t="0" r="0" b="0"/>
            <wp:docPr id="23713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34143" name=""/>
                    <pic:cNvPicPr/>
                  </pic:nvPicPr>
                  <pic:blipFill>
                    <a:blip r:embed="rId14"/>
                    <a:stretch>
                      <a:fillRect/>
                    </a:stretch>
                  </pic:blipFill>
                  <pic:spPr>
                    <a:xfrm>
                      <a:off x="0" y="0"/>
                      <a:ext cx="20117435" cy="17699990"/>
                    </a:xfrm>
                    <a:prstGeom prst="rect">
                      <a:avLst/>
                    </a:prstGeom>
                  </pic:spPr>
                </pic:pic>
              </a:graphicData>
            </a:graphic>
          </wp:inline>
        </w:drawing>
      </w:r>
    </w:p>
    <w:p w14:paraId="165EFD98" w14:textId="77777777" w:rsidR="007F3FE6" w:rsidRDefault="007F3FE6"/>
    <w:p w14:paraId="31D1BAD3" w14:textId="77777777" w:rsidR="007F3FE6" w:rsidRDefault="007F3FE6"/>
    <w:p w14:paraId="4DE377A5" w14:textId="77777777" w:rsidR="007F3FE6" w:rsidRDefault="007F3FE6"/>
    <w:p w14:paraId="6A058C9D" w14:textId="77777777" w:rsidR="007F3FE6" w:rsidRDefault="007F3FE6"/>
    <w:p w14:paraId="2978C23F" w14:textId="55C24A1C" w:rsidR="007F3FE6" w:rsidRDefault="007F3FE6">
      <w:r w:rsidRPr="007F3FE6">
        <w:t>Platform Integration Specification: Anchor Platform</w:t>
      </w:r>
      <w:r>
        <w:t>:</w:t>
      </w:r>
      <w:r>
        <w:br/>
      </w:r>
      <w:r>
        <w:br/>
      </w:r>
      <w:r w:rsidRPr="007F3FE6">
        <w:t>The Compass Platform Integration serves as the authoritative system definition for the Compass ecosystem. Unlike other integrated systems, Compass acts as the anchor platform and therefore its core integration settings are system-defined and cannot be modified by administrators.</w:t>
      </w:r>
      <w:r w:rsidRPr="007F3FE6">
        <w:br/>
      </w:r>
      <w:r w:rsidRPr="007F3FE6">
        <w:br/>
        <w:t>The purpose of this configuration is to expose the full inventory of assignable platform capabilities, modules, functions, and external applications that can be referenced by user profiles, access groups, entitlement models, and security administration workflows. While the configuration information is visible for transparency and governance purposes, the core platform definition remains read-only to preserve alignment with the underlying Compass platform architecture.</w:t>
      </w:r>
      <w:r w:rsidRPr="007F3FE6">
        <w:br/>
      </w:r>
      <w:r w:rsidRPr="007F3FE6">
        <w:br/>
      </w:r>
      <w:r>
        <w:t>Platform:</w:t>
      </w:r>
    </w:p>
    <w:p w14:paraId="7D1401D8" w14:textId="1D6BA58D" w:rsidR="007F3FE6" w:rsidRDefault="007F3FE6">
      <w:r w:rsidRPr="007F3FE6">
        <w:drawing>
          <wp:inline distT="0" distB="0" distL="0" distR="0" wp14:anchorId="45BADC54" wp14:editId="2CA34EA5">
            <wp:extent cx="2031365" cy="20117435"/>
            <wp:effectExtent l="0" t="0" r="6985" b="0"/>
            <wp:docPr id="111356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62931" name=""/>
                    <pic:cNvPicPr/>
                  </pic:nvPicPr>
                  <pic:blipFill>
                    <a:blip r:embed="rId15"/>
                    <a:stretch>
                      <a:fillRect/>
                    </a:stretch>
                  </pic:blipFill>
                  <pic:spPr>
                    <a:xfrm>
                      <a:off x="0" y="0"/>
                      <a:ext cx="2031365" cy="20117435"/>
                    </a:xfrm>
                    <a:prstGeom prst="rect">
                      <a:avLst/>
                    </a:prstGeom>
                  </pic:spPr>
                </pic:pic>
              </a:graphicData>
            </a:graphic>
          </wp:inline>
        </w:drawing>
      </w:r>
    </w:p>
    <w:p w14:paraId="70A5749B" w14:textId="77777777" w:rsidR="007F3FE6" w:rsidRDefault="007F3FE6"/>
    <w:sectPr w:rsidR="007F3F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04E"/>
    <w:rsid w:val="007F3FE6"/>
    <w:rsid w:val="00920921"/>
    <w:rsid w:val="009610B9"/>
    <w:rsid w:val="009D5C0D"/>
    <w:rsid w:val="00A81AE6"/>
    <w:rsid w:val="00C3304E"/>
    <w:rsid w:val="00CB4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4793E"/>
  <w15:chartTrackingRefBased/>
  <w15:docId w15:val="{E8B012C9-1E5E-488D-A9B1-627C90265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0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0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0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04E"/>
    <w:rPr>
      <w:rFonts w:eastAsiaTheme="majorEastAsia" w:cstheme="majorBidi"/>
      <w:color w:val="272727" w:themeColor="text1" w:themeTint="D8"/>
    </w:rPr>
  </w:style>
  <w:style w:type="paragraph" w:styleId="Title">
    <w:name w:val="Title"/>
    <w:basedOn w:val="Normal"/>
    <w:next w:val="Normal"/>
    <w:link w:val="TitleChar"/>
    <w:uiPriority w:val="10"/>
    <w:qFormat/>
    <w:rsid w:val="00C33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04E"/>
    <w:pPr>
      <w:spacing w:before="160"/>
      <w:jc w:val="center"/>
    </w:pPr>
    <w:rPr>
      <w:i/>
      <w:iCs/>
      <w:color w:val="404040" w:themeColor="text1" w:themeTint="BF"/>
    </w:rPr>
  </w:style>
  <w:style w:type="character" w:customStyle="1" w:styleId="QuoteChar">
    <w:name w:val="Quote Char"/>
    <w:basedOn w:val="DefaultParagraphFont"/>
    <w:link w:val="Quote"/>
    <w:uiPriority w:val="29"/>
    <w:rsid w:val="00C3304E"/>
    <w:rPr>
      <w:i/>
      <w:iCs/>
      <w:color w:val="404040" w:themeColor="text1" w:themeTint="BF"/>
    </w:rPr>
  </w:style>
  <w:style w:type="paragraph" w:styleId="ListParagraph">
    <w:name w:val="List Paragraph"/>
    <w:basedOn w:val="Normal"/>
    <w:uiPriority w:val="34"/>
    <w:qFormat/>
    <w:rsid w:val="00C3304E"/>
    <w:pPr>
      <w:ind w:left="720"/>
      <w:contextualSpacing/>
    </w:pPr>
  </w:style>
  <w:style w:type="character" w:styleId="IntenseEmphasis">
    <w:name w:val="Intense Emphasis"/>
    <w:basedOn w:val="DefaultParagraphFont"/>
    <w:uiPriority w:val="21"/>
    <w:qFormat/>
    <w:rsid w:val="00C3304E"/>
    <w:rPr>
      <w:i/>
      <w:iCs/>
      <w:color w:val="0F4761" w:themeColor="accent1" w:themeShade="BF"/>
    </w:rPr>
  </w:style>
  <w:style w:type="paragraph" w:styleId="IntenseQuote">
    <w:name w:val="Intense Quote"/>
    <w:basedOn w:val="Normal"/>
    <w:next w:val="Normal"/>
    <w:link w:val="IntenseQuoteChar"/>
    <w:uiPriority w:val="30"/>
    <w:qFormat/>
    <w:rsid w:val="00C33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04E"/>
    <w:rPr>
      <w:i/>
      <w:iCs/>
      <w:color w:val="0F4761" w:themeColor="accent1" w:themeShade="BF"/>
    </w:rPr>
  </w:style>
  <w:style w:type="character" w:styleId="IntenseReference">
    <w:name w:val="Intense Reference"/>
    <w:basedOn w:val="DefaultParagraphFont"/>
    <w:uiPriority w:val="32"/>
    <w:qFormat/>
    <w:rsid w:val="00C330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Azizi, Ali</dc:creator>
  <cp:keywords/>
  <dc:description/>
  <cp:lastModifiedBy>Azizi, Ali</cp:lastModifiedBy>
  <cp:revision>2</cp:revision>
  <dcterms:created xsi:type="dcterms:W3CDTF">2026-10-09T20:35:00Z</dcterms:created>
  <dcterms:modified xsi:type="dcterms:W3CDTF">2026-10-09T20:59:00Z</dcterms:modified>
</cp:coreProperties>
</file>