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600" w:before="312" w:after="0"/>
        <w:jc w:val="center"/>
        <w:rPr>
          <w:rFonts w:ascii="宋体;SimSun" w:hAnsi="宋体;SimSun" w:cs="宋体;SimSun"/>
          <w:b/>
          <w:color w:val="000000"/>
          <w:kern w:val="0"/>
          <w:sz w:val="36"/>
          <w:szCs w:val="36"/>
          <w:lang w:bidi="ar"/>
        </w:rPr>
      </w:pPr>
      <w:r>
        <w:rPr>
          <w:rFonts w:ascii="宋体;SimSun" w:hAnsi="宋体;SimSun" w:cs="宋体;SimSun"/>
          <w:b/>
          <w:color w:val="000000"/>
          <w:kern w:val="0"/>
          <w:sz w:val="36"/>
          <w:szCs w:val="36"/>
          <w:lang w:bidi="ar"/>
        </w:rPr>
        <w:t>东方水利智能科技股份有限公司</w:t>
      </w:r>
    </w:p>
    <w:p>
      <w:pPr>
        <w:pStyle w:val="Normal"/>
        <w:widowControl/>
        <w:spacing w:lineRule="auto" w:line="600"/>
        <w:jc w:val="center"/>
        <w:textAlignment w:val="center"/>
        <w:rPr>
          <w:rFonts w:ascii="宋体;SimSun" w:hAnsi="宋体;SimSun" w:cs="宋体;SimSun"/>
          <w:b/>
          <w:color w:val="000000"/>
          <w:kern w:val="0"/>
          <w:sz w:val="30"/>
          <w:szCs w:val="30"/>
          <w:lang w:bidi="ar"/>
        </w:rPr>
      </w:pPr>
      <w:r>
        <w:rPr>
          <w:rFonts w:ascii="宋体;SimSun" w:hAnsi="宋体;SimSun" w:cs="宋体;SimSun"/>
          <w:b/>
          <w:color w:val="000000"/>
          <w:kern w:val="0"/>
          <w:sz w:val="30"/>
          <w:szCs w:val="30"/>
          <w:lang w:bidi="ar"/>
        </w:rPr>
        <w:t>数字一体化平台项目</w:t>
      </w:r>
      <w:r>
        <w:rPr>
          <w:rFonts w:cs="宋体;SimSun" w:ascii="宋体;SimSun" w:hAnsi="宋体;SimSun"/>
          <w:b/>
          <w:color w:val="000000"/>
          <w:kern w:val="0"/>
          <w:sz w:val="30"/>
          <w:szCs w:val="30"/>
          <w:lang w:bidi="ar"/>
        </w:rPr>
        <w:t>-</w:t>
      </w:r>
      <w:r>
        <w:rPr>
          <w:rFonts w:ascii="宋体;SimSun" w:hAnsi="宋体;SimSun" w:cs="宋体;SimSun"/>
          <w:b/>
          <w:color w:val="000000"/>
          <w:kern w:val="0"/>
          <w:sz w:val="30"/>
          <w:szCs w:val="30"/>
          <w:lang w:bidi="ar"/>
        </w:rPr>
        <w:t>调研访谈记录</w:t>
      </w:r>
    </w:p>
    <w:tbl>
      <w:tblPr>
        <w:tblW w:w="53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2136"/>
        <w:gridCol w:w="1347"/>
        <w:gridCol w:w="2283"/>
        <w:gridCol w:w="1273"/>
        <w:gridCol w:w="2054"/>
      </w:tblGrid>
      <w:tr>
        <w:trPr>
          <w:trHeight w:val="561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调研时间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eastAsia="仿宋" w:cs="仿宋" w:ascii="仿宋" w:hAnsi="仿宋"/>
                <w:szCs w:val="21"/>
              </w:rPr>
              <w:t>2026</w:t>
            </w:r>
            <w:r>
              <w:rPr>
                <w:rFonts w:ascii="仿宋" w:hAnsi="仿宋" w:cs="仿宋" w:eastAsia="仿宋"/>
                <w:szCs w:val="21"/>
              </w:rPr>
              <w:t>年</w:t>
            </w:r>
            <w:r>
              <w:rPr>
                <w:rFonts w:eastAsia="仿宋" w:cs="仿宋" w:ascii="仿宋" w:hAnsi="仿宋"/>
                <w:szCs w:val="21"/>
              </w:rPr>
              <w:t>1</w:t>
            </w:r>
            <w:r>
              <w:rPr>
                <w:rFonts w:ascii="仿宋" w:hAnsi="仿宋" w:cs="仿宋" w:eastAsia="仿宋"/>
                <w:szCs w:val="21"/>
              </w:rPr>
              <w:t>月</w:t>
            </w:r>
            <w:r>
              <w:rPr>
                <w:rFonts w:eastAsia="仿宋" w:cs="仿宋" w:ascii="仿宋" w:hAnsi="仿宋"/>
                <w:szCs w:val="21"/>
              </w:rPr>
              <w:t>16</w:t>
            </w:r>
            <w:r>
              <w:rPr>
                <w:rFonts w:ascii="仿宋" w:hAnsi="仿宋" w:cs="仿宋" w:eastAsia="仿宋"/>
                <w:szCs w:val="21"/>
              </w:rPr>
              <w:t>日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调研地点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eastAsia="仿宋" w:cs="仿宋" w:ascii="仿宋" w:hAnsi="仿宋"/>
                <w:szCs w:val="21"/>
              </w:rPr>
              <w:t xml:space="preserve"> </w:t>
            </w:r>
            <w:r>
              <w:rPr>
                <w:rFonts w:ascii="仿宋" w:hAnsi="仿宋" w:cs="仿宋" w:eastAsia="仿宋"/>
                <w:szCs w:val="21"/>
              </w:rPr>
              <w:t>东方水利会议室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文件号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eastAsia="仿宋" w:cs="仿宋" w:ascii="仿宋" w:hAnsi="仿宋"/>
                <w:szCs w:val="21"/>
              </w:rPr>
              <w:t>DFSL-RG-20260106</w:t>
            </w:r>
          </w:p>
        </w:tc>
      </w:tr>
      <w:tr>
        <w:trPr>
          <w:trHeight w:val="561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调研部门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ascii="仿宋" w:hAnsi="仿宋" w:cs="宋体;SimSun" w:eastAsia="仿宋"/>
                <w:szCs w:val="21"/>
              </w:rPr>
              <w:t>质量检验部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调研范围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仿宋" w:hAnsi="仿宋" w:cs="仿宋" w:eastAsia="仿宋"/>
                <w:szCs w:val="21"/>
              </w:rPr>
              <w:t>全员□ 部门</w:t>
            </w:r>
            <w:r>
              <w:rPr>
                <w:rFonts w:ascii="Segoe UI Symbol" w:hAnsi="Segoe UI Symbol" w:cs="Segoe UI Symbol" w:eastAsia="仿宋"/>
                <w:szCs w:val="21"/>
              </w:rPr>
              <w:t>☑</w:t>
            </w:r>
            <w:r>
              <w:rPr>
                <w:rFonts w:ascii="仿宋" w:hAnsi="仿宋" w:cs="仿宋" w:eastAsia="仿宋"/>
                <w:szCs w:val="21"/>
              </w:rPr>
              <w:t xml:space="preserve"> 单独□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调研次数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eastAsia="仿宋" w:cs="仿宋" w:ascii="仿宋" w:hAnsi="仿宋"/>
                <w:szCs w:val="21"/>
              </w:rPr>
              <w:t>1</w:t>
            </w:r>
          </w:p>
        </w:tc>
      </w:tr>
      <w:tr>
        <w:trPr>
          <w:trHeight w:val="561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受访人员</w:t>
            </w:r>
          </w:p>
        </w:tc>
        <w:tc>
          <w:tcPr>
            <w:tcW w:w="57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ascii="仿宋" w:hAnsi="仿宋" w:cs="仿宋" w:eastAsia="仿宋"/>
                <w:szCs w:val="21"/>
              </w:rPr>
              <w:t>张惠明、王元部、杨全勇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调研工程师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ascii="仿宋" w:hAnsi="仿宋" w:cs="仿宋" w:eastAsia="仿宋"/>
                <w:szCs w:val="21"/>
              </w:rPr>
              <w:t>彭博、肖森源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tbl>
      <w:tblPr>
        <w:tblW w:w="104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2"/>
        <w:gridCol w:w="3735"/>
        <w:gridCol w:w="5463"/>
      </w:tblGrid>
      <w:tr>
        <w:trPr>
          <w:trHeight w:val="242" w:hRule="atLeast"/>
        </w:trPr>
        <w:tc>
          <w:tcPr>
            <w:tcW w:w="10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ind w:hanging="0" w:left="0" w:right="0"/>
              <w:rPr/>
            </w:pPr>
            <w:r>
              <w:rPr>
                <w:szCs w:val="21"/>
              </w:rPr>
              <w:t>部门岗位</w:t>
            </w:r>
          </w:p>
        </w:tc>
      </w:tr>
      <w:tr>
        <w:trPr>
          <w:trHeight w:val="242" w:hRule="atLeast"/>
        </w:trPr>
        <w:tc>
          <w:tcPr>
            <w:tcW w:w="10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00"/>
              <w:rPr>
                <w:b/>
                <w:bCs/>
                <w:sz w:val="24"/>
              </w:rPr>
            </w:pPr>
            <w:r>
              <w:rPr>
                <w:rFonts w:ascii="仿宋" w:hAnsi="仿宋" w:cs="仿宋" w:eastAsia="仿宋"/>
                <w:szCs w:val="21"/>
              </w:rPr>
              <w:t>资料岗位：</w:t>
            </w:r>
            <w:r>
              <w:rPr>
                <w:rFonts w:eastAsia="仿宋" w:cs="仿宋" w:ascii="仿宋" w:hAnsi="仿宋"/>
                <w:szCs w:val="21"/>
              </w:rPr>
              <w:t xml:space="preserve">2 </w:t>
            </w:r>
            <w:r>
              <w:rPr>
                <w:rFonts w:ascii="仿宋" w:hAnsi="仿宋" w:cs="仿宋" w:eastAsia="仿宋"/>
                <w:szCs w:val="21"/>
              </w:rPr>
              <w:t>个；返聘岗位：</w:t>
            </w:r>
            <w:r>
              <w:rPr>
                <w:rFonts w:eastAsia="仿宋" w:cs="仿宋" w:ascii="仿宋" w:hAnsi="仿宋"/>
                <w:szCs w:val="21"/>
              </w:rPr>
              <w:t xml:space="preserve">1 </w:t>
            </w:r>
            <w:r>
              <w:rPr>
                <w:rFonts w:ascii="仿宋" w:hAnsi="仿宋" w:cs="仿宋" w:eastAsia="仿宋"/>
                <w:szCs w:val="21"/>
              </w:rPr>
              <w:t>个；检测岗位：</w:t>
            </w:r>
            <w:r>
              <w:rPr>
                <w:rFonts w:eastAsia="仿宋" w:cs="仿宋" w:ascii="仿宋" w:hAnsi="仿宋"/>
                <w:szCs w:val="21"/>
              </w:rPr>
              <w:t xml:space="preserve">1 </w:t>
            </w:r>
            <w:r>
              <w:rPr>
                <w:rFonts w:ascii="仿宋" w:hAnsi="仿宋" w:cs="仿宋" w:eastAsia="仿宋"/>
                <w:szCs w:val="21"/>
              </w:rPr>
              <w:t>个；</w:t>
            </w:r>
            <w:r>
              <w:rPr>
                <w:rFonts w:eastAsia="仿宋" w:cs="仿宋" w:ascii="仿宋" w:hAnsi="仿宋"/>
                <w:szCs w:val="21"/>
              </w:rPr>
              <w:t>5</w:t>
            </w:r>
            <w:r>
              <w:rPr>
                <w:rFonts w:ascii="仿宋" w:hAnsi="仿宋" w:cs="仿宋" w:eastAsia="仿宋"/>
                <w:szCs w:val="21"/>
              </w:rPr>
              <w:t>、质检人员：</w:t>
            </w:r>
            <w:r>
              <w:rPr>
                <w:rFonts w:eastAsia="仿宋" w:cs="仿宋" w:ascii="仿宋" w:hAnsi="仿宋"/>
                <w:szCs w:val="21"/>
              </w:rPr>
              <w:t xml:space="preserve">6 </w:t>
            </w:r>
            <w:r>
              <w:rPr>
                <w:rFonts w:ascii="仿宋" w:hAnsi="仿宋" w:cs="仿宋" w:eastAsia="仿宋"/>
                <w:szCs w:val="21"/>
              </w:rPr>
              <w:t>个</w:t>
            </w:r>
          </w:p>
        </w:tc>
      </w:tr>
      <w:tr>
        <w:trPr>
          <w:trHeight w:val="242" w:hRule="atLeast"/>
        </w:trPr>
        <w:tc>
          <w:tcPr>
            <w:tcW w:w="10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ind w:hanging="0" w:left="0" w:right="0"/>
              <w:rPr>
                <w:b/>
                <w:bCs/>
                <w:sz w:val="24"/>
              </w:rPr>
            </w:pPr>
            <w:r>
              <w:rPr>
                <w:b/>
                <w:bCs/>
              </w:rPr>
              <w:t>工作工具</w:t>
            </w:r>
          </w:p>
        </w:tc>
      </w:tr>
      <w:tr>
        <w:trPr>
          <w:trHeight w:val="242" w:hRule="atLeast"/>
        </w:trPr>
        <w:tc>
          <w:tcPr>
            <w:tcW w:w="10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spacing w:lineRule="auto" w:line="300"/>
              <w:rPr>
                <w:szCs w:val="21"/>
              </w:rPr>
            </w:pPr>
            <w:r>
              <w:rPr>
                <w:rFonts w:ascii="仿宋" w:hAnsi="仿宋" w:cs="仿宋" w:eastAsia="仿宋"/>
                <w:szCs w:val="21"/>
              </w:rPr>
              <w:t>金蝶云星空、</w:t>
            </w:r>
            <w:r>
              <w:rPr>
                <w:rFonts w:eastAsia="仿宋" w:cs="仿宋" w:ascii="仿宋" w:hAnsi="仿宋"/>
                <w:szCs w:val="21"/>
              </w:rPr>
              <w:t>EXCEL</w:t>
            </w:r>
            <w:r>
              <w:rPr>
                <w:rFonts w:ascii="仿宋" w:hAnsi="仿宋" w:cs="仿宋" w:eastAsia="仿宋"/>
                <w:szCs w:val="21"/>
              </w:rPr>
              <w:t>线下表格、</w:t>
            </w:r>
            <w:r>
              <w:rPr>
                <w:rFonts w:eastAsia="仿宋" w:cs="仿宋" w:ascii="仿宋" w:hAnsi="仿宋"/>
                <w:szCs w:val="21"/>
              </w:rPr>
              <w:t>OA</w:t>
            </w:r>
            <w:r>
              <w:rPr>
                <w:rFonts w:ascii="仿宋" w:hAnsi="仿宋" w:cs="仿宋" w:eastAsia="仿宋"/>
                <w:szCs w:val="21"/>
              </w:rPr>
              <w:t>办公系统</w:t>
            </w:r>
          </w:p>
        </w:tc>
      </w:tr>
      <w:tr>
        <w:trPr>
          <w:trHeight w:val="242" w:hRule="atLeast"/>
        </w:trPr>
        <w:tc>
          <w:tcPr>
            <w:tcW w:w="10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ind w:hanging="0" w:left="0" w:right="0"/>
              <w:rPr>
                <w:szCs w:val="21"/>
              </w:rPr>
            </w:pPr>
            <w:r>
              <w:rPr>
                <w:szCs w:val="21"/>
              </w:rPr>
              <w:t>调研内容</w:t>
            </w:r>
          </w:p>
        </w:tc>
      </w:tr>
      <w:tr>
        <w:trPr>
          <w:trHeight w:val="617" w:hRule="atLeast"/>
        </w:trPr>
        <w:tc>
          <w:tcPr>
            <w:tcW w:w="12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质量管理</w:t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基础信息</w:t>
            </w:r>
          </w:p>
        </w:tc>
        <w:tc>
          <w:tcPr>
            <w:tcW w:w="9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00"/>
              <w:rPr>
                <w:rFonts w:ascii="仿宋" w:hAnsi="仿宋" w:eastAsia="仿宋" w:cs="仿宋"/>
                <w:szCs w:val="21"/>
              </w:rPr>
            </w:pPr>
            <w:r>
              <w:rPr>
                <w:rFonts w:ascii="仿宋" w:hAnsi="仿宋" w:cs="仿宋" w:eastAsia="仿宋"/>
                <w:b/>
                <w:bCs/>
                <w:szCs w:val="21"/>
              </w:rPr>
              <w:t>工作岗位：</w:t>
            </w:r>
            <w:r>
              <w:rPr>
                <w:rFonts w:ascii="仿宋" w:hAnsi="仿宋" w:cs="仿宋" w:eastAsia="仿宋"/>
                <w:szCs w:val="21"/>
              </w:rPr>
              <w:t>检测岗位</w:t>
            </w:r>
          </w:p>
          <w:p>
            <w:pPr>
              <w:pStyle w:val="Normal"/>
              <w:spacing w:lineRule="auto" w:line="300"/>
              <w:rPr>
                <w:rFonts w:ascii="仿宋" w:hAnsi="仿宋" w:eastAsia="仿宋" w:cs="仿宋"/>
                <w:b/>
                <w:bCs/>
                <w:szCs w:val="21"/>
              </w:rPr>
            </w:pPr>
            <w:r>
              <w:rPr>
                <w:rFonts w:ascii="仿宋" w:hAnsi="仿宋" w:cs="仿宋" w:eastAsia="仿宋"/>
                <w:b/>
                <w:bCs/>
                <w:szCs w:val="21"/>
              </w:rPr>
              <w:t>工时占比：</w:t>
            </w:r>
            <w:r>
              <w:rPr>
                <w:rFonts w:eastAsia="仿宋" w:cs="仿宋" w:ascii="仿宋" w:hAnsi="仿宋"/>
                <w:szCs w:val="21"/>
              </w:rPr>
              <w:t>5%</w:t>
            </w:r>
          </w:p>
        </w:tc>
      </w:tr>
      <w:tr>
        <w:trPr>
          <w:trHeight w:val="617" w:hRule="atLeast"/>
        </w:trPr>
        <w:tc>
          <w:tcPr>
            <w:tcW w:w="126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" w:hAnsi="仿宋" w:eastAsia="仿宋" w:cs="仿宋"/>
                <w:b/>
                <w:bCs/>
                <w:szCs w:val="21"/>
              </w:rPr>
            </w:pPr>
            <w:r>
              <w:rPr>
                <w:rFonts w:eastAsia="仿宋" w:cs="仿宋" w:ascii="仿宋" w:hAnsi="仿宋"/>
                <w:b/>
                <w:bCs/>
                <w:szCs w:val="21"/>
              </w:rPr>
            </w:r>
          </w:p>
        </w:tc>
        <w:tc>
          <w:tcPr>
            <w:tcW w:w="9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00"/>
              <w:rPr>
                <w:rFonts w:ascii="仿宋" w:hAnsi="仿宋" w:eastAsia="仿宋" w:cs="仿宋"/>
                <w:b/>
                <w:bCs/>
                <w:szCs w:val="21"/>
              </w:rPr>
            </w:pPr>
            <w:r>
              <w:rPr>
                <w:rFonts w:ascii="仿宋" w:hAnsi="仿宋" w:cs="仿宋" w:eastAsia="仿宋"/>
                <w:b/>
                <w:bCs/>
                <w:szCs w:val="21"/>
              </w:rPr>
              <w:t>表单提供：</w:t>
            </w:r>
          </w:p>
          <w:p>
            <w:pPr>
              <w:pStyle w:val="Normal"/>
              <w:numPr>
                <w:ilvl w:val="0"/>
                <w:numId w:val="5"/>
              </w:numPr>
              <w:spacing w:lineRule="auto" w:line="300"/>
              <w:rPr>
                <w:rFonts w:ascii="仿宋" w:hAnsi="仿宋" w:eastAsia="仿宋" w:cs="仿宋"/>
                <w:szCs w:val="21"/>
              </w:rPr>
            </w:pPr>
            <w:r>
              <w:rPr>
                <w:rFonts w:ascii="仿宋" w:hAnsi="仿宋" w:cs="仿宋" w:eastAsia="仿宋"/>
                <w:szCs w:val="21"/>
              </w:rPr>
              <w:t>《</w:t>
            </w:r>
            <w:r>
              <w:rPr>
                <w:rFonts w:eastAsia="仿宋" w:cs="仿宋" w:ascii="仿宋" w:hAnsi="仿宋"/>
                <w:szCs w:val="21"/>
              </w:rPr>
              <w:t>AQL</w:t>
            </w:r>
            <w:r>
              <w:rPr>
                <w:rFonts w:ascii="仿宋" w:hAnsi="仿宋" w:cs="仿宋" w:eastAsia="仿宋"/>
                <w:szCs w:val="21"/>
              </w:rPr>
              <w:t>线下表格》</w:t>
            </w:r>
          </w:p>
          <w:p>
            <w:pPr>
              <w:pStyle w:val="Normal"/>
              <w:numPr>
                <w:ilvl w:val="0"/>
                <w:numId w:val="5"/>
              </w:numPr>
              <w:spacing w:lineRule="auto" w:line="300"/>
              <w:rPr>
                <w:rFonts w:ascii="仿宋" w:hAnsi="仿宋" w:eastAsia="仿宋" w:cs="仿宋"/>
                <w:szCs w:val="21"/>
              </w:rPr>
            </w:pPr>
            <w:r>
              <w:rPr>
                <w:rFonts w:ascii="仿宋" w:hAnsi="仿宋" w:cs="仿宋" w:eastAsia="仿宋"/>
                <w:szCs w:val="21"/>
              </w:rPr>
              <w:t>《检测模板</w:t>
            </w:r>
            <w:r>
              <w:rPr>
                <w:rFonts w:eastAsia="仿宋" w:cs="仿宋" w:ascii="仿宋" w:hAnsi="仿宋"/>
                <w:szCs w:val="21"/>
              </w:rPr>
              <w:t>EXCEL</w:t>
            </w:r>
            <w:r>
              <w:rPr>
                <w:rFonts w:ascii="仿宋" w:hAnsi="仿宋" w:cs="仿宋" w:eastAsia="仿宋"/>
                <w:szCs w:val="21"/>
              </w:rPr>
              <w:t>表格》</w:t>
            </w:r>
          </w:p>
          <w:p>
            <w:pPr>
              <w:pStyle w:val="Normal"/>
              <w:numPr>
                <w:ilvl w:val="0"/>
                <w:numId w:val="5"/>
              </w:numPr>
              <w:spacing w:lineRule="auto" w:line="300"/>
              <w:rPr>
                <w:rFonts w:ascii="仿宋" w:hAnsi="仿宋" w:eastAsia="仿宋" w:cs="仿宋"/>
                <w:szCs w:val="21"/>
              </w:rPr>
            </w:pPr>
            <w:r>
              <w:rPr>
                <w:rFonts w:ascii="仿宋" w:hAnsi="仿宋" w:cs="仿宋" w:eastAsia="仿宋"/>
                <w:szCs w:val="21"/>
              </w:rPr>
              <w:t>《模板报表统计》</w:t>
            </w:r>
          </w:p>
        </w:tc>
      </w:tr>
      <w:tr>
        <w:trPr>
          <w:trHeight w:val="617" w:hRule="atLeast"/>
        </w:trPr>
        <w:tc>
          <w:tcPr>
            <w:tcW w:w="126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eastAsia="仿宋" w:cs="仿宋" w:ascii="仿宋" w:hAnsi="仿宋"/>
                <w:szCs w:val="21"/>
              </w:rPr>
            </w:r>
          </w:p>
        </w:tc>
        <w:tc>
          <w:tcPr>
            <w:tcW w:w="9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00"/>
              <w:rPr>
                <w:rFonts w:ascii="仿宋" w:hAnsi="仿宋" w:eastAsia="仿宋" w:cs="仿宋"/>
                <w:b/>
                <w:bCs/>
                <w:szCs w:val="21"/>
              </w:rPr>
            </w:pPr>
            <w:r>
              <w:rPr>
                <w:rFonts w:ascii="仿宋" w:hAnsi="仿宋" w:cs="仿宋" w:eastAsia="仿宋"/>
                <w:b/>
                <w:bCs/>
                <w:szCs w:val="21"/>
              </w:rPr>
              <w:t>工作描述：</w:t>
            </w:r>
          </w:p>
          <w:p>
            <w:pPr>
              <w:pStyle w:val="Normal"/>
              <w:ind w:firstLine="210" w:right="0"/>
              <w:jc w:val="left"/>
              <w:rPr>
                <w:rFonts w:ascii="仿宋" w:hAnsi="仿宋" w:eastAsia="仿宋" w:cs="仿宋"/>
                <w:szCs w:val="21"/>
              </w:rPr>
            </w:pPr>
            <w:r>
              <w:rPr>
                <w:rFonts w:ascii="仿宋" w:hAnsi="仿宋" w:cs="仿宋" w:eastAsia="仿宋"/>
                <w:szCs w:val="21"/>
              </w:rPr>
              <w:t>当前线下有对应的检验模板，按物料分类。</w:t>
            </w:r>
          </w:p>
          <w:p>
            <w:pPr>
              <w:pStyle w:val="Normal"/>
              <w:spacing w:lineRule="auto" w:line="300"/>
              <w:rPr>
                <w:rFonts w:ascii="仿宋" w:hAnsi="仿宋" w:eastAsia="仿宋" w:cs="仿宋"/>
                <w:b/>
                <w:bCs/>
                <w:szCs w:val="21"/>
              </w:rPr>
            </w:pPr>
            <w:r>
              <w:rPr>
                <w:rFonts w:ascii="仿宋" w:hAnsi="仿宋" w:cs="仿宋" w:eastAsia="仿宋"/>
                <w:b/>
                <w:bCs/>
                <w:szCs w:val="21"/>
              </w:rPr>
              <w:t>痛点说明：</w:t>
            </w:r>
            <w:r>
              <w:rPr>
                <w:rFonts w:ascii="仿宋" w:hAnsi="仿宋" w:cs="仿宋" w:eastAsia="仿宋"/>
                <w:szCs w:val="21"/>
              </w:rPr>
              <w:t xml:space="preserve"> 无</w:t>
            </w:r>
          </w:p>
        </w:tc>
      </w:tr>
      <w:tr>
        <w:trPr>
          <w:trHeight w:val="2562" w:hRule="atLeast"/>
        </w:trPr>
        <w:tc>
          <w:tcPr>
            <w:tcW w:w="126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" w:hAnsi="仿宋" w:eastAsia="仿宋" w:cs="仿宋"/>
                <w:b/>
                <w:bCs/>
                <w:szCs w:val="21"/>
              </w:rPr>
            </w:pPr>
            <w:r>
              <w:rPr>
                <w:rFonts w:eastAsia="仿宋" w:cs="仿宋" w:ascii="仿宋" w:hAnsi="仿宋"/>
                <w:b/>
                <w:bCs/>
                <w:szCs w:val="21"/>
              </w:rPr>
            </w:r>
          </w:p>
        </w:tc>
        <w:tc>
          <w:tcPr>
            <w:tcW w:w="9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00"/>
              <w:rPr>
                <w:rFonts w:ascii="仿宋" w:hAnsi="仿宋" w:eastAsia="仿宋" w:cs="仿宋"/>
                <w:b/>
                <w:bCs/>
                <w:szCs w:val="21"/>
              </w:rPr>
            </w:pPr>
            <w:r>
              <w:rPr>
                <w:rFonts w:ascii="仿宋" w:hAnsi="仿宋" w:cs="仿宋" w:eastAsia="仿宋"/>
                <w:b/>
                <w:bCs/>
                <w:szCs w:val="21"/>
              </w:rPr>
              <w:t>朗速建议：</w:t>
            </w:r>
          </w:p>
          <w:p>
            <w:pPr>
              <w:pStyle w:val="Normal"/>
              <w:numPr>
                <w:ilvl w:val="0"/>
                <w:numId w:val="6"/>
              </w:numPr>
              <w:spacing w:lineRule="auto" w:line="300"/>
              <w:rPr>
                <w:rFonts w:ascii="仿宋" w:hAnsi="仿宋" w:eastAsia="仿宋" w:cs="仿宋"/>
                <w:color w:val="FF0000"/>
                <w:szCs w:val="21"/>
              </w:rPr>
            </w:pPr>
            <w:r>
              <w:rPr>
                <w:rFonts w:ascii="仿宋" w:hAnsi="仿宋" w:cs="仿宋" w:eastAsia="仿宋"/>
                <w:color w:val="FF0000"/>
                <w:szCs w:val="21"/>
              </w:rPr>
              <w:t>当前针对检测模板是有对应的正负标准差值；</w:t>
            </w:r>
          </w:p>
          <w:p>
            <w:pPr>
              <w:pStyle w:val="Normal"/>
              <w:numPr>
                <w:ilvl w:val="0"/>
                <w:numId w:val="6"/>
              </w:numPr>
              <w:spacing w:lineRule="auto" w:line="300"/>
              <w:rPr>
                <w:rFonts w:ascii="仿宋" w:hAnsi="仿宋" w:eastAsia="仿宋" w:cs="仿宋"/>
                <w:color w:val="FF0000"/>
                <w:szCs w:val="21"/>
              </w:rPr>
            </w:pPr>
            <w:r>
              <w:rPr>
                <w:rFonts w:eastAsia="仿宋" w:cs="仿宋" w:ascii="仿宋" w:hAnsi="仿宋"/>
                <w:color w:val="FF0000"/>
                <w:szCs w:val="21"/>
              </w:rPr>
              <w:t>AQL (</w:t>
            </w:r>
            <w:r>
              <w:rPr>
                <w:rFonts w:ascii="仿宋" w:hAnsi="仿宋" w:cs="仿宋" w:eastAsia="仿宋"/>
                <w:color w:val="FF0000"/>
                <w:szCs w:val="21"/>
              </w:rPr>
              <w:t xml:space="preserve">当前是根据人工经验确定抽检量、未设置物料 </w:t>
            </w:r>
            <w:r>
              <w:rPr>
                <w:rFonts w:eastAsia="仿宋" w:cs="仿宋" w:ascii="仿宋" w:hAnsi="仿宋"/>
                <w:color w:val="FF0000"/>
                <w:szCs w:val="21"/>
              </w:rPr>
              <w:t xml:space="preserve">AQL </w:t>
            </w:r>
            <w:r>
              <w:rPr>
                <w:rFonts w:ascii="仿宋" w:hAnsi="仿宋" w:cs="仿宋" w:eastAsia="仿宋"/>
                <w:color w:val="FF0000"/>
                <w:szCs w:val="21"/>
              </w:rPr>
              <w:t>标准</w:t>
            </w:r>
            <w:r>
              <w:rPr>
                <w:rFonts w:eastAsia="仿宋" w:cs="仿宋" w:ascii="仿宋" w:hAnsi="仿宋"/>
                <w:color w:val="FF0000"/>
                <w:szCs w:val="21"/>
              </w:rPr>
              <w:t>)</w:t>
            </w:r>
            <w:r>
              <w:rPr>
                <w:rFonts w:ascii="仿宋" w:hAnsi="仿宋" w:cs="仿宋" w:eastAsia="仿宋"/>
                <w:color w:val="FF0000"/>
                <w:szCs w:val="21"/>
              </w:rPr>
              <w:t>；</w:t>
            </w:r>
          </w:p>
          <w:p>
            <w:pPr>
              <w:pStyle w:val="Normal"/>
              <w:numPr>
                <w:ilvl w:val="0"/>
                <w:numId w:val="6"/>
              </w:numPr>
              <w:spacing w:lineRule="auto" w:line="300"/>
              <w:rPr>
                <w:rFonts w:ascii="仿宋" w:hAnsi="仿宋" w:eastAsia="仿宋" w:cs="仿宋"/>
                <w:color w:val="FF0000"/>
                <w:szCs w:val="21"/>
              </w:rPr>
            </w:pPr>
            <w:r>
              <w:rPr>
                <w:rFonts w:ascii="仿宋" w:hAnsi="仿宋" w:cs="仿宋" w:eastAsia="仿宋"/>
                <w:color w:val="FF0000"/>
                <w:szCs w:val="21"/>
              </w:rPr>
              <w:t>物料检测不合格代码（当前没有建立物料不合格代码管理规则）；</w:t>
            </w:r>
          </w:p>
          <w:p>
            <w:pPr>
              <w:pStyle w:val="Normal"/>
              <w:numPr>
                <w:ilvl w:val="0"/>
                <w:numId w:val="6"/>
              </w:numPr>
              <w:spacing w:lineRule="auto" w:line="300"/>
              <w:rPr>
                <w:rFonts w:ascii="仿宋" w:hAnsi="仿宋" w:eastAsia="仿宋" w:cs="仿宋"/>
                <w:szCs w:val="21"/>
              </w:rPr>
            </w:pPr>
            <w:r>
              <w:rPr>
                <w:rFonts w:ascii="仿宋" w:hAnsi="仿宋" w:cs="仿宋" w:eastAsia="仿宋"/>
                <w:szCs w:val="21"/>
              </w:rPr>
              <w:t>设置标签格式标识，建立标签现场标识规则，如：红标（报废）、蓝标（待处理）、绿标（合格）；</w:t>
            </w:r>
          </w:p>
          <w:p>
            <w:pPr>
              <w:pStyle w:val="Normal"/>
              <w:numPr>
                <w:ilvl w:val="0"/>
                <w:numId w:val="6"/>
              </w:numPr>
              <w:spacing w:lineRule="auto" w:line="300"/>
              <w:rPr>
                <w:b/>
                <w:bCs/>
                <w:szCs w:val="21"/>
              </w:rPr>
            </w:pPr>
            <w:r>
              <w:rPr>
                <w:rFonts w:ascii="仿宋" w:hAnsi="仿宋" w:cs="仿宋" w:eastAsia="仿宋"/>
                <w:szCs w:val="21"/>
              </w:rPr>
              <w:t>设置物料档案（需检</w:t>
            </w:r>
            <w:r>
              <w:rPr>
                <w:rFonts w:eastAsia="仿宋" w:cs="仿宋" w:ascii="仿宋" w:hAnsi="仿宋"/>
                <w:szCs w:val="21"/>
              </w:rPr>
              <w:t>/</w:t>
            </w:r>
            <w:r>
              <w:rPr>
                <w:rFonts w:ascii="仿宋" w:hAnsi="仿宋" w:cs="仿宋" w:eastAsia="仿宋"/>
                <w:szCs w:val="21"/>
              </w:rPr>
              <w:t>免检）、复检周期（如：油漆，根据期限退货或重检使用）。</w:t>
            </w:r>
          </w:p>
        </w:tc>
      </w:tr>
      <w:tr>
        <w:trPr>
          <w:trHeight w:val="2562" w:hRule="atLeast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质量管理</w:t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进料检验</w:t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9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rPr>
                <w:rFonts w:ascii="仿宋" w:hAnsi="仿宋" w:eastAsia="仿宋" w:cs="仿宋"/>
                <w:b/>
                <w:bCs/>
                <w:szCs w:val="21"/>
              </w:rPr>
            </w:pPr>
            <w:r>
              <w:rPr>
                <w:rFonts w:eastAsia="仿宋" w:cs="仿宋" w:ascii="仿宋" w:hAnsi="仿宋"/>
                <w:b/>
                <w:bCs/>
                <w:szCs w:val="21"/>
              </w:rPr>
            </w:r>
          </w:p>
        </w:tc>
      </w:tr>
      <w:tr>
        <w:trPr>
          <w:trHeight w:val="293" w:hRule="atLeast"/>
        </w:trPr>
        <w:tc>
          <w:tcPr>
            <w:tcW w:w="10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ind w:hanging="0" w:left="0" w:right="0"/>
              <w:rPr>
                <w:rFonts w:ascii="仿宋" w:hAnsi="仿宋" w:eastAsia="仿宋" w:cs="仿宋"/>
                <w:szCs w:val="21"/>
              </w:rPr>
            </w:pPr>
            <w:r>
              <w:rPr>
                <w:szCs w:val="21"/>
              </w:rPr>
              <w:t>整体痛点难点描述</w:t>
            </w:r>
          </w:p>
        </w:tc>
      </w:tr>
      <w:tr>
        <w:trPr>
          <w:trHeight w:val="597" w:hRule="atLeast"/>
        </w:trPr>
        <w:tc>
          <w:tcPr>
            <w:tcW w:w="10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uto" w:line="300"/>
              <w:rPr>
                <w:rFonts w:ascii="仿宋" w:hAnsi="仿宋" w:eastAsia="仿宋" w:cs="仿宋"/>
                <w:szCs w:val="21"/>
              </w:rPr>
            </w:pPr>
            <w:r>
              <w:rPr>
                <w:rFonts w:ascii="仿宋" w:hAnsi="仿宋" w:cs="仿宋" w:eastAsia="仿宋"/>
                <w:szCs w:val="21"/>
              </w:rPr>
              <w:t>希望所有物资在检测前需要有对应资料：供应商按照技术要求提供对应资料，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300"/>
              <w:rPr>
                <w:rFonts w:ascii="仿宋" w:hAnsi="仿宋" w:eastAsia="仿宋" w:cs="仿宋"/>
                <w:szCs w:val="21"/>
              </w:rPr>
            </w:pPr>
            <w:r>
              <w:rPr>
                <w:rFonts w:ascii="仿宋" w:hAnsi="仿宋" w:cs="仿宋" w:eastAsia="仿宋"/>
                <w:szCs w:val="21"/>
              </w:rPr>
              <w:t>由采购上传包括品牌、规格、</w:t>
            </w:r>
          </w:p>
        </w:tc>
      </w:tr>
      <w:tr>
        <w:trPr>
          <w:trHeight w:val="293" w:hRule="atLeast"/>
        </w:trPr>
        <w:tc>
          <w:tcPr>
            <w:tcW w:w="10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ind w:hanging="0" w:left="0" w:right="0"/>
              <w:rPr>
                <w:rFonts w:ascii="仿宋" w:hAnsi="仿宋" w:eastAsia="仿宋" w:cs="仿宋"/>
                <w:szCs w:val="21"/>
              </w:rPr>
            </w:pPr>
            <w:r>
              <w:rPr>
                <w:szCs w:val="21"/>
              </w:rPr>
              <w:t>业务专项事项讨论</w:t>
            </w:r>
          </w:p>
        </w:tc>
      </w:tr>
      <w:tr>
        <w:trPr>
          <w:trHeight w:val="1549" w:hRule="atLeast"/>
        </w:trPr>
        <w:tc>
          <w:tcPr>
            <w:tcW w:w="10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pacing w:lineRule="auto" w:line="300"/>
              <w:rPr>
                <w:rFonts w:ascii="仿宋" w:hAnsi="仿宋" w:eastAsia="仿宋" w:cs="仿宋"/>
                <w:szCs w:val="21"/>
              </w:rPr>
            </w:pPr>
            <w:r>
              <w:rPr>
                <w:rFonts w:ascii="仿宋" w:hAnsi="仿宋" w:cs="仿宋" w:eastAsia="仿宋"/>
                <w:szCs w:val="21"/>
              </w:rPr>
              <w:t>是否可设置“待检区、检测区、合格区、不良区”？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300"/>
              <w:rPr>
                <w:rFonts w:ascii="仿宋" w:hAnsi="仿宋" w:eastAsia="仿宋" w:cs="仿宋"/>
                <w:szCs w:val="21"/>
              </w:rPr>
            </w:pPr>
            <w:r>
              <w:rPr>
                <w:rFonts w:ascii="仿宋" w:hAnsi="仿宋" w:cs="仿宋" w:eastAsia="仿宋"/>
                <w:szCs w:val="21"/>
              </w:rPr>
              <w:t>送检单、质检单、入库单方案选择</w:t>
            </w:r>
          </w:p>
        </w:tc>
      </w:tr>
      <w:tr>
        <w:trPr>
          <w:trHeight w:val="293" w:hRule="atLeast"/>
        </w:trPr>
        <w:tc>
          <w:tcPr>
            <w:tcW w:w="10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spacing w:lineRule="auto" w:line="300"/>
              <w:ind w:hanging="0" w:left="0" w:right="0"/>
              <w:rPr>
                <w:rFonts w:ascii="仿宋" w:hAnsi="仿宋" w:eastAsia="仿宋" w:cs="仿宋"/>
                <w:szCs w:val="21"/>
              </w:rPr>
            </w:pPr>
            <w:r>
              <w:rPr>
                <w:b/>
                <w:bCs/>
                <w:sz w:val="24"/>
              </w:rPr>
              <w:t>其他补充</w:t>
            </w:r>
          </w:p>
        </w:tc>
      </w:tr>
      <w:tr>
        <w:trPr>
          <w:trHeight w:val="293" w:hRule="atLeast"/>
        </w:trPr>
        <w:tc>
          <w:tcPr>
            <w:tcW w:w="10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00"/>
              <w:rPr>
                <w:rFonts w:ascii="仿宋" w:hAnsi="仿宋" w:eastAsia="仿宋" w:cs="仿宋"/>
                <w:szCs w:val="21"/>
              </w:rPr>
            </w:pPr>
            <w:r>
              <w:rPr>
                <w:rFonts w:ascii="仿宋" w:hAnsi="仿宋" w:cs="仿宋" w:eastAsia="仿宋"/>
                <w:szCs w:val="21"/>
              </w:rPr>
              <w:t>暂无。</w:t>
            </w:r>
          </w:p>
        </w:tc>
      </w:tr>
      <w:tr>
        <w:trPr>
          <w:trHeight w:val="936" w:hRule="atLeast"/>
        </w:trPr>
        <w:tc>
          <w:tcPr>
            <w:tcW w:w="4997" w:type="dxa"/>
            <w:gridSpan w:val="2"/>
            <w:tcBorders/>
            <w:vAlign w:val="center"/>
          </w:tcPr>
          <w:p>
            <w:pPr>
              <w:pStyle w:val="Normal"/>
              <w:jc w:val="left"/>
              <w:rPr>
                <w:rFonts w:ascii="仿宋" w:hAnsi="仿宋" w:eastAsia="仿宋" w:cs="仿宋"/>
                <w:szCs w:val="21"/>
                <w:u w:val="single"/>
              </w:rPr>
            </w:pPr>
            <w:r>
              <w:rPr>
                <w:rFonts w:ascii="仿宋" w:hAnsi="仿宋" w:cs="仿宋" w:eastAsia="仿宋"/>
                <w:szCs w:val="21"/>
              </w:rPr>
              <w:t>受访人（签字确认）：</w:t>
            </w:r>
          </w:p>
        </w:tc>
        <w:tc>
          <w:tcPr>
            <w:tcW w:w="54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" w:hAnsi="仿宋" w:eastAsia="仿宋" w:cs="仿宋"/>
                <w:szCs w:val="21"/>
                <w:u w:val="single"/>
              </w:rPr>
            </w:pPr>
            <w:r>
              <w:rPr>
                <w:rFonts w:eastAsia="仿宋" w:cs="仿宋" w:ascii="仿宋" w:hAnsi="仿宋"/>
                <w:szCs w:val="21"/>
                <w:u w:val="single"/>
              </w:rPr>
            </w:r>
          </w:p>
        </w:tc>
      </w:tr>
      <w:tr>
        <w:trPr>
          <w:trHeight w:val="482" w:hRule="atLeast"/>
        </w:trPr>
        <w:tc>
          <w:tcPr>
            <w:tcW w:w="4997" w:type="dxa"/>
            <w:gridSpan w:val="2"/>
            <w:tcBorders/>
            <w:vAlign w:val="center"/>
          </w:tcPr>
          <w:p>
            <w:pPr>
              <w:pStyle w:val="Normal"/>
              <w:jc w:val="left"/>
              <w:rPr>
                <w:rFonts w:ascii="仿宋" w:hAnsi="仿宋" w:eastAsia="仿宋" w:cs="仿宋"/>
                <w:szCs w:val="21"/>
              </w:rPr>
            </w:pPr>
            <w:r>
              <w:rPr>
                <w:rFonts w:eastAsia="仿宋" w:cs="仿宋" w:ascii="仿宋" w:hAnsi="仿宋"/>
                <w:szCs w:val="21"/>
              </w:rPr>
              <w:t>2026</w:t>
            </w:r>
            <w:r>
              <w:rPr>
                <w:rFonts w:ascii="仿宋" w:hAnsi="仿宋" w:cs="仿宋" w:eastAsia="仿宋"/>
                <w:szCs w:val="21"/>
              </w:rPr>
              <w:t>年</w:t>
            </w:r>
            <w:r>
              <w:rPr>
                <w:rFonts w:eastAsia="仿宋" w:cs="仿宋" w:ascii="仿宋" w:hAnsi="仿宋"/>
                <w:szCs w:val="21"/>
              </w:rPr>
              <w:t>1</w:t>
            </w:r>
            <w:r>
              <w:rPr>
                <w:rFonts w:ascii="仿宋" w:hAnsi="仿宋" w:cs="仿宋" w:eastAsia="仿宋"/>
                <w:szCs w:val="21"/>
              </w:rPr>
              <w:t>月</w:t>
            </w:r>
            <w:r>
              <w:rPr>
                <w:rFonts w:eastAsia="仿宋" w:cs="仿宋" w:ascii="仿宋" w:hAnsi="仿宋"/>
                <w:szCs w:val="21"/>
              </w:rPr>
              <w:t>16</w:t>
            </w:r>
            <w:r>
              <w:rPr>
                <w:rFonts w:ascii="仿宋" w:hAnsi="仿宋" w:cs="仿宋" w:eastAsia="仿宋"/>
                <w:szCs w:val="21"/>
              </w:rPr>
              <w:t>日</w:t>
            </w:r>
          </w:p>
        </w:tc>
        <w:tc>
          <w:tcPr>
            <w:tcW w:w="54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eastAsia="仿宋" w:cs="仿宋" w:ascii="仿宋" w:hAnsi="仿宋"/>
                <w:szCs w:val="21"/>
              </w:rPr>
            </w:r>
          </w:p>
        </w:tc>
      </w:tr>
    </w:tbl>
    <w:p>
      <w:pPr>
        <w:pStyle w:val="Normal"/>
        <w:rPr>
          <w:szCs w:val="21"/>
        </w:rPr>
      </w:pPr>
      <w:r>
        <w:rPr>
          <w:szCs w:val="21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680" w:top="1134" w:footer="737" w:bottom="85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0"/>
    <w:family w:val="swiss"/>
    <w:pitch w:val="variable"/>
  </w:font>
  <w:font w:name="仿宋">
    <w:charset w:val="86"/>
    <w:family w:val="modern"/>
    <w:pitch w:val="default"/>
  </w:font>
  <w:font w:name="Segoe UI Symbol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</w:r>
    <w:r>
      <mc:AlternateContent>
        <mc:Choice Requires="wps">
          <w:drawing>
            <wp:anchor behindDoc="1" distT="0" distB="0" distL="114935" distR="114935" simplePos="0" locked="0" layoutInCell="0" allowOverlap="1" relativeHeight="5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6280" cy="167005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6280" cy="1670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napToGrid w:val="false"/>
                            <w:rPr/>
                          </w:pPr>
                          <w:r>
                            <w:rPr>
                              <w:sz w:val="18"/>
                            </w:rPr>
                            <w:t>第</w:t>
                          </w:r>
                          <w:r>
                            <w:rPr>
                              <w:rFonts w:eastAsia="Times New Roman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eastAsia="Times New Roman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页</w:t>
                          </w:r>
                          <w:r>
                            <w:rPr>
                              <w:rFonts w:eastAsia="Times New Roman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共</w:t>
                          </w:r>
                          <w:r>
                            <w:rPr>
                              <w:rFonts w:eastAsia="Times New Roman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\* ARABIC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eastAsia="Times New Roman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6.4pt;height:13.15pt;mso-wrap-distance-left:9.05pt;mso-wrap-distance-right:9.05pt;mso-wrap-distance-top:0pt;mso-wrap-distance-bottom:0pt;margin-top:0pt;mso-position-vertical-relative:text;margin-left:212.7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napToGrid w:val="false"/>
                      <w:rPr/>
                    </w:pPr>
                    <w:r>
                      <w:rPr>
                        <w:sz w:val="18"/>
                      </w:rPr>
                      <w:t>第</w:t>
                    </w:r>
                    <w:r>
                      <w:rPr>
                        <w:rFonts w:eastAsia="Times New Roman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eastAsia="Times New Roman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页</w:t>
                    </w:r>
                    <w:r>
                      <w:rPr>
                        <w:rFonts w:eastAsia="Times New Roman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共</w:t>
                    </w:r>
                    <w:r>
                      <w:rPr>
                        <w:rFonts w:eastAsia="Times New Roman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\* ARABIC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eastAsia="Times New Roman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页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inline distT="0" distB="0" distL="0" distR="0">
          <wp:extent cx="1619885" cy="290830"/>
          <wp:effectExtent l="0" t="0" r="0" b="0"/>
          <wp:docPr id="1" name="图片 1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2" t="-124" r="-22" b="-124"/>
                  <a:stretch>
                    <a:fillRect/>
                  </a:stretch>
                </pic:blipFill>
                <pic:spPr bwMode="auto">
                  <a:xfrm>
                    <a:off x="0" y="0"/>
                    <a:ext cx="1619885" cy="290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eastAsia="Times New Roman"/>
        <w:b/>
        <w:sz w:val="24"/>
      </w:rPr>
      <w:t xml:space="preserve">                                     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、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suff w:val="nothing"/>
      <w:lvlText w:val="%1、"/>
      <w:lvlJc w:val="left"/>
      <w:pPr>
        <w:tabs>
          <w:tab w:val="num" w:pos="0"/>
        </w:tabs>
        <w:ind w:left="0" w:hanging="0"/>
      </w:pPr>
    </w:lvl>
  </w:abstractNum>
  <w:abstractNum w:abstractNumId="3">
    <w:lvl w:ilvl="0">
      <w:start w:val="1"/>
      <w:numFmt w:val="chineseCountingThousand"/>
      <w:suff w:val="nothing"/>
      <w:lvlText w:val="%1、"/>
      <w:lvlJc w:val="left"/>
      <w:pPr>
        <w:tabs>
          <w:tab w:val="num" w:pos="0"/>
        </w:tabs>
        <w:ind w:left="0" w:firstLine="420"/>
      </w:pPr>
      <w:rPr>
        <w:sz w:val="24"/>
        <w:szCs w:val="24"/>
        <w:rFonts w:ascii="宋体;SimSun" w:hAnsi="宋体;SimSun" w:eastAsia="宋体;SimSun" w:cs="宋体;SimSun"/>
      </w:rPr>
    </w:lvl>
  </w:abstractNum>
  <w:abstractNum w:abstractNumId="4">
    <w:lvl w:ilvl="0">
      <w:start w:val="1"/>
      <w:numFmt w:val="decimal"/>
      <w:lvlText w:val="%1、"/>
      <w:lvlJc w:val="left"/>
      <w:pPr>
        <w:tabs>
          <w:tab w:val="num" w:pos="0"/>
        </w:tabs>
        <w:ind w:left="360" w:hanging="360"/>
      </w:pPr>
      <w:rPr/>
    </w:lvl>
  </w:abstractNum>
  <w:abstractNum w:abstractNumId="5">
    <w:lvl w:ilvl="0">
      <w:start w:val="1"/>
      <w:numFmt w:val="decimal"/>
      <w:lvlText w:val="%1、"/>
      <w:lvlJc w:val="left"/>
      <w:pPr>
        <w:tabs>
          <w:tab w:val="num" w:pos="0"/>
        </w:tabs>
        <w:ind w:left="360" w:hanging="360"/>
      </w:pPr>
      <w:rPr/>
    </w:lvl>
  </w:abstractNum>
  <w:abstractNum w:abstractNumId="6">
    <w:lvl w:ilvl="0">
      <w:start w:val="1"/>
      <w:numFmt w:val="decimal"/>
      <w:suff w:val="nothing"/>
      <w:lvlText w:val="%1、"/>
      <w:lvlJc w:val="left"/>
      <w:pPr>
        <w:tabs>
          <w:tab w:val="num" w:pos="0"/>
        </w:tabs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WW8Num6z0">
    <w:name w:val="WW8Num6z0"/>
    <w:qFormat/>
    <w:rPr>
      <w:rFonts w:ascii="宋体;SimSun" w:hAnsi="宋体;SimSun" w:eastAsia="宋体;SimSun" w:cs="宋体;SimSun"/>
      <w:sz w:val="24"/>
      <w:szCs w:val="24"/>
    </w:rPr>
  </w:style>
  <w:style w:type="character" w:styleId="WW8Num8z0">
    <w:name w:val="WW8Num8z0"/>
    <w:qFormat/>
    <w:rPr/>
  </w:style>
  <w:style w:type="character" w:styleId="WW8Num10z0">
    <w:name w:val="WW8Num10z0"/>
    <w:qFormat/>
    <w:rPr/>
  </w:style>
  <w:style w:type="character" w:styleId="WW8Num13z0">
    <w:name w:val="WW8Num13z0"/>
    <w:qFormat/>
    <w:rPr/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2026-01-08T09:54:00Z</dcterms:created>
  <dc:creator>大地系统</dc:creator>
  <dc:description/>
  <cp:keywords/>
  <dc:language>en-US</dc:language>
  <cp:lastModifiedBy>chunhua peng</cp:lastModifiedBy>
  <cp:lastPrinted>2026-03-26T17:10:00Z</cp:lastPrinted>
  <dcterms:modified xsi:type="dcterms:W3CDTF">2026-03-26T10:01:00Z</dcterms:modified>
  <cp:revision>19</cp:revision>
  <dc:subject/>
  <dc:title>吉福新材ERP项目组成员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8B96D31F295A4781934ECC20A032A3E7_13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eyJoZGlkIjoiMzEwNTM5NzYwMDRjMzkwZTVkZjY2ODkwMGIxNGU0OTUiLCJ1c2VySWQiOiI0MDA2NzExODUifQ==</vt:lpwstr>
  </property>
</Properties>
</file>