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5C4447">
      <w:pPr>
        <w:spacing w:before="1441" w:beforeAutospacing="0" w:after="1441" w:afterAutospacing="0"/>
        <w:ind w:left="1418" w:leftChars="0" w:right="1418" w:rightChars="0"/>
        <w:jc w:val="center"/>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44"/>
          <w:szCs w:val="24"/>
          <w:lang w:val="en-US" w:eastAsia="zh-CN" w:bidi="ar-SA"/>
        </w:rPr>
        <w:t xml:space="preserve"> 算力泡沫隐现：地方军备竞赛与国家“一盘棋”的张力</w:t>
      </w:r>
    </w:p>
    <w:p w14:paraId="666E5E26">
      <w:pPr>
        <w:rPr>
          <w:rFonts w:hint="eastAsia"/>
        </w:rPr>
      </w:pPr>
    </w:p>
    <w:p w14:paraId="2A62332A">
      <w:pPr>
        <w:rPr>
          <w:rFonts w:hint="eastAsia" w:eastAsiaTheme="minorEastAsia"/>
          <w:lang w:eastAsia="zh-CN"/>
        </w:rPr>
      </w:pPr>
      <w:r>
        <w:rPr>
          <w:rFonts w:hint="eastAsia"/>
        </w:rPr>
        <w:t>AIGC使用声明</w:t>
      </w:r>
    </w:p>
    <w:p w14:paraId="032D6E9D">
      <w:pPr>
        <w:rPr>
          <w:rFonts w:hint="eastAsia"/>
        </w:rPr>
      </w:pPr>
      <w:r>
        <w:rPr>
          <w:rFonts w:hint="eastAsia"/>
        </w:rPr>
        <w:t>本论文在写作过程中使用了生成式人工智能工具，具体使用范围如下：语言润色与格式调整——部分段落的文字表达、句式调整、学术格式统一由AI辅助完成。核心观点的提出、全部论证的逻辑推演与结构安排、关键结论的得出均由作者独立完成。</w:t>
      </w:r>
    </w:p>
    <w:p w14:paraId="7B83A210">
      <w:pPr>
        <w:rPr>
          <w:rFonts w:hint="eastAsia"/>
        </w:rPr>
      </w:pPr>
    </w:p>
    <w:p w14:paraId="23724954">
      <w:pPr>
        <w:rPr>
          <w:rFonts w:hint="eastAsia"/>
        </w:rPr>
      </w:pPr>
    </w:p>
    <w:p w14:paraId="0989812F">
      <w:pPr>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21"/>
          <w:szCs w:val="24"/>
          <w:lang w:val="en-US" w:eastAsia="zh-CN" w:bidi="ar-SA"/>
        </w:rPr>
        <w:t xml:space="preserve"> 摘要</w:t>
      </w:r>
    </w:p>
    <w:p w14:paraId="6DF82DD0">
      <w:pPr>
        <w:rPr>
          <w:rFonts w:hint="eastAsia"/>
        </w:rPr>
      </w:pPr>
    </w:p>
    <w:p w14:paraId="634117AA">
      <w:pPr>
        <w:spacing w:line="360" w:lineRule="auto"/>
        <w:ind w:firstLine="480" w:firstLineChars="200"/>
        <w:rPr>
          <w:rFonts w:asciiTheme="minorHAnsi" w:hAnsiTheme="minorHAnsi" w:eastAsiaTheme="minorEastAsia" w:cstheme="minorBidi"/>
          <w:kern w:val="2"/>
          <w:sz w:val="21"/>
          <w:szCs w:val="24"/>
          <w:lang w:val="en-US" w:eastAsia="zh-CN" w:bidi="ar-SA"/>
        </w:rPr>
      </w:pPr>
      <w:r>
        <w:rPr>
          <w:rFonts w:hint="default" w:ascii="楷体" w:hAnsi="楷体" w:eastAsia="楷体" w:cs="楷体"/>
          <w:kern w:val="2"/>
          <w:sz w:val="24"/>
          <w:szCs w:val="24"/>
          <w:lang w:val="en-US" w:eastAsia="zh-CN" w:bidi="ar-SA"/>
        </w:rPr>
        <w:t>截至2025年，中国算力总规模已达962 EFLOPS，全球占比约21%，30个省市在“十五五”规划中提及“人工智能”和“算力”。在国家“东数西算”工程和“人工智能+”行动的有力牵引下，一幅全国AI“一盘棋”的宏伟蓝图正加速铺展。然而，与顶层设计的理性统筹形成鲜明张力的是，地方政府的“算力军备竞赛”已全面铺开：全国智算中心平均利用率长期在低位徘徊，部分地区新建计算资源大量闲置，“重硬轻软”“东紧西闲”等结构性问题日益凸显。本文认为，当前中国算力产业的核心矛盾已从“供给不足”转向“结构性过剩”——即供给侧高速扩张与需求侧实际消化能力之间的系统性错配。本文在系统梳理国家顶层设计与地方竞争格局的基础上，剖析这一结构失衡的深层成因：央地激励机制的偏离、以“房地产逻辑”建设算力基础设施的路径依赖、以及算力建设与产业应用“两张皮”的脱节。在全球算力竞争和中美科技博弈的时代背景下，本文提出，中国算力产业亟需从“铺摊子”转向“上台阶”，在保持适度超前布局的同时，坚决遏制低效重复建设，推动算力供给与AI应用需求的精准对接。</w:t>
      </w:r>
    </w:p>
    <w:p w14:paraId="485630D5">
      <w:pPr>
        <w:rPr>
          <w:rFonts w:hint="eastAsia"/>
        </w:rPr>
      </w:pPr>
    </w:p>
    <w:p w14:paraId="36CBE1C7">
      <w:pPr>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21"/>
          <w:szCs w:val="24"/>
          <w:lang w:val="en-US" w:eastAsia="zh-CN" w:bidi="ar-SA"/>
        </w:rPr>
        <w:t>关键词：算力军备竞赛；东数西算；结构性过剩；智算中心；人工智能+；新型举国体制</w:t>
      </w:r>
    </w:p>
    <w:p w14:paraId="7609394F">
      <w:pPr>
        <w:rPr>
          <w:rFonts w:hint="eastAsia"/>
        </w:rPr>
      </w:pPr>
    </w:p>
    <w:p w14:paraId="088166BE">
      <w:pPr>
        <w:rPr>
          <w:rFonts w:hint="eastAsia"/>
        </w:rPr>
      </w:pPr>
    </w:p>
    <w:p w14:paraId="0EA89531">
      <w:pPr>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32"/>
          <w:szCs w:val="24"/>
          <w:lang w:val="en-US" w:eastAsia="zh-CN" w:bidi="ar-SA"/>
        </w:rPr>
        <w:t xml:space="preserve"> 1 引言：算力狂欢背后的结构性阴影</w:t>
      </w:r>
    </w:p>
    <w:p w14:paraId="039E469F">
      <w:pPr>
        <w:rPr>
          <w:rFonts w:hint="eastAsia"/>
        </w:rPr>
      </w:pPr>
    </w:p>
    <w:p w14:paraId="69A0E4E1">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一个前所未有的共识正在中国各级政府中形成：算力是数字经济时代的新质生产力，是衡量国家竞争力的核心标尺。纪录片《大国基石》明确宣称“算力即国力”，研究测算表明算力每投入1元，将带动3至4元的GDP经济增长。在“十五五”规划的开局之年，全国所有省市无一例外地将“人工智能”和“算力”写入规划纲要，30个省市提及“大模型”——一场以算力为核心抓手的产业竞赛已在全国铺开。</w:t>
      </w:r>
    </w:p>
    <w:p w14:paraId="2EA06A32">
      <w:pPr>
        <w:rPr>
          <w:rFonts w:hint="eastAsia"/>
        </w:rPr>
      </w:pPr>
    </w:p>
    <w:p w14:paraId="12DBDD9F">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然而，在这股热潮之下，一组数据同样值得审慎关注。截至2025年上半年，全国智算中心可运用算力达到17亿卡时，平均实际使用量仅5.6亿卡时，利用率不及三分之一。两会期间，多位委员专家发出警示：部分三四线城市中小规模智算中心利用率甚至不足三成，一些地方高达80%的新建计算资源处于闲置状态。华为创始人任正非更是直言，当前对算力短缺的焦虑源于“线性外推”——以为模型越大需求就越强，“建一千个大模型不难，难的是让它们在炼钢炉前、矿井深处、港口码头真正落地”。</w:t>
      </w:r>
    </w:p>
    <w:p w14:paraId="549E424E">
      <w:pPr>
        <w:rPr>
          <w:rFonts w:hint="eastAsia"/>
        </w:rPr>
      </w:pPr>
    </w:p>
    <w:p w14:paraId="72A2E13F">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一个核心矛盾由此浮出水面：在国家“东数西算”工程和全国一体化算力网统筹布局的理性规划之下，地方政府的投资冲动和市场主体的投机行为正在催生一场潜在的“结构性算力过剩”危机。本文试图剖析的正是这一矛盾的生成机制——地方算力军备竞赛如何在与国家“一盘棋”的张力中展开，供给侧的高速扩张为何未能有效匹配需求侧的实际消化能力，以及在全球算力竞赛的倒逼之下，中国算力产业如何从“铺摊子”转向“上台阶”。</w:t>
      </w:r>
    </w:p>
    <w:p w14:paraId="56F31A62">
      <w:pPr>
        <w:rPr>
          <w:rFonts w:hint="eastAsia"/>
        </w:rPr>
      </w:pPr>
    </w:p>
    <w:p w14:paraId="33EE37E8">
      <w:pPr>
        <w:rPr>
          <w:rFonts w:hint="eastAsia"/>
        </w:rPr>
      </w:pPr>
    </w:p>
    <w:p w14:paraId="0B5BDEA1">
      <w:pPr>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32"/>
          <w:szCs w:val="24"/>
          <w:lang w:val="en-US" w:eastAsia="zh-CN" w:bidi="ar-SA"/>
        </w:rPr>
        <w:t xml:space="preserve"> 2 国家“一盘棋”：顶层设计的理性统筹</w:t>
      </w:r>
    </w:p>
    <w:p w14:paraId="2F5B47A9">
      <w:pPr>
        <w:rPr>
          <w:rFonts w:hint="eastAsia"/>
        </w:rPr>
      </w:pPr>
    </w:p>
    <w:p w14:paraId="57EFE278">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中国算力产业的国家顶层设计呈现出清晰的层次性和体系化特征。从“东数西算”工程的物理布局，到全国一体化算力网的调度机制，再到“人工智能+”行动的应用牵引，一套“全国一盘棋”的制度框架已基本成型。</w:t>
      </w:r>
    </w:p>
    <w:p w14:paraId="73B272D6">
      <w:pPr>
        <w:rPr>
          <w:rFonts w:hint="eastAsia"/>
        </w:rPr>
      </w:pPr>
    </w:p>
    <w:p w14:paraId="77381C47">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在物理布局层面，“东数西算”工程构建了“1个国家核心+8个枢纽+10个集群”的全国一体化算力网架构。京津冀、长三角、粤港澳大湾区、成渝等东部枢纽承接核心城市低延迟算力需求，内蒙古、贵州、甘肃、宁夏等西部枢纽发挥能源和土地优势承接后台加工和离线分析业务。截至2025年8月，八大枢纽节点已集聚全国60%以上的新增算力，智算规模约占全国总量的80%，东西部枢纽节点间网络时延已基本满足20毫秒要求。</w:t>
      </w:r>
    </w:p>
    <w:p w14:paraId="0D2179C8">
      <w:pPr>
        <w:rPr>
          <w:rFonts w:hint="eastAsia"/>
        </w:rPr>
      </w:pPr>
    </w:p>
    <w:p w14:paraId="2CE3BEB7">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在调度机制层面，2026年国务院政府工作报告明确提出建设全国一体化算力监测调度平台，核心目标是解决算力资源“找不着、用不上、调不动”的痛点，实现全国算力资源“一本账”和调度“一张网”。在应用牵引层面，国务院《关于深入实施“人工智能+”行动的意见》以“人工智能+”全面赋能经济社会各领域，布局建设一批国家人工智能应用中试基地，为算力供给创造真实的应用出口。</w:t>
      </w:r>
    </w:p>
    <w:p w14:paraId="47A2C6FD">
      <w:pPr>
        <w:rPr>
          <w:rFonts w:hint="eastAsia"/>
        </w:rPr>
      </w:pPr>
    </w:p>
    <w:p w14:paraId="784FB4C6">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这套顶层设计的理性之处在于：它试图以国家统筹来避免市场自发投资的无序性——东部缺算力、西部富能源，国家用“东数西算”来匹配供需；算力建好后怕闲置，国家用“一体化调度”来盘活存量；怕建了没人用，国家用“人工智能+”来创造需求。从制度设计的逻辑看，这是一个完整的闭环。</w:t>
      </w:r>
    </w:p>
    <w:p w14:paraId="0551E03C">
      <w:pPr>
        <w:rPr>
          <w:rFonts w:hint="eastAsia"/>
        </w:rPr>
      </w:pPr>
    </w:p>
    <w:p w14:paraId="4585CFB6">
      <w:pPr>
        <w:rPr>
          <w:rFonts w:hint="eastAsia"/>
        </w:rPr>
      </w:pPr>
    </w:p>
    <w:p w14:paraId="3D2C3DF4">
      <w:pPr>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32"/>
          <w:szCs w:val="24"/>
          <w:lang w:val="en-US" w:eastAsia="zh-CN" w:bidi="ar-SA"/>
        </w:rPr>
        <w:t xml:space="preserve"> 3 地方“军备竞赛”：激情背后的非理性博弈</w:t>
      </w:r>
    </w:p>
    <w:p w14:paraId="588206B4">
      <w:pPr>
        <w:rPr>
          <w:rFonts w:hint="eastAsia"/>
        </w:rPr>
      </w:pPr>
    </w:p>
    <w:p w14:paraId="3DFF0B42">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然而，顶层设计的理性在实践中遭遇了地方竞争的非理性。</w:t>
      </w:r>
    </w:p>
    <w:p w14:paraId="6E131F76">
      <w:pPr>
        <w:rPr>
          <w:rFonts w:hint="eastAsia"/>
        </w:rPr>
      </w:pPr>
    </w:p>
    <w:p w14:paraId="7E0798F5">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各省份围绕算力规模的竞争已趋白热化。上海提出到2025年底智能算力规模突破100 EFLOPS，北京规划建设两个10 EFLOPS大规模智算集群并支撑万亿级参数大模型训练，河南2025年算力规模突破94 EFLOPS进入全国第一梯队，深圳目标到2025年智能算力达到25 EFLOPS。从东部沿海到中西部内陆，从一线城市到三四线城市，一股“算力锦标赛”的热潮全面铺开。</w:t>
      </w:r>
    </w:p>
    <w:p w14:paraId="1C6BDF26">
      <w:pPr>
        <w:rPr>
          <w:rFonts w:hint="eastAsia"/>
        </w:rPr>
      </w:pPr>
    </w:p>
    <w:p w14:paraId="0BA21CEA">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算力券政策成为这场竞赛中最直观的“政策武器”。湖南按实际结算金额30%补贴、单企年上限1000万元，湖北省级财政安排5000万元算力券，北京亦庄每年定向发放算力券、模型券、数据券各1亿元。这些补贴政策在降低企业算力使用成本方面发挥了积极作用，但也客观推动了算力需求的泡沫化——部分企业为获取补贴而囤积算力资源，实际使用率远低于申领时的承诺。</w:t>
      </w:r>
    </w:p>
    <w:p w14:paraId="7C3A9B79">
      <w:pPr>
        <w:rPr>
          <w:rFonts w:hint="eastAsia"/>
        </w:rPr>
      </w:pPr>
    </w:p>
    <w:p w14:paraId="1F597FB0">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这场竞赛的深层驱动力在于央地关系的结构性激励。在“算力即国力”的强势话语下，建设智算中心成为地方政府响应国家战略、争夺数字产业高地的最直观政绩。一个千卡规模智算中心的投资动辄数亿乃至数十亿元，对地方GDP和固定资产投资具有显著的拉动效应。全国政协委员史可在2025年两会发言中直指问题核心：“盲目跟风上马，产能出现过剩”，部分地区以“房地产逻辑”理解智算中心建设——“盖了再卖”，导致部分智算中心出现空转。</w:t>
      </w:r>
    </w:p>
    <w:p w14:paraId="0882490E">
      <w:pPr>
        <w:rPr>
          <w:rFonts w:hint="eastAsia"/>
        </w:rPr>
      </w:pPr>
    </w:p>
    <w:p w14:paraId="53D350D8">
      <w:pPr>
        <w:rPr>
          <w:rFonts w:hint="eastAsia"/>
        </w:rPr>
      </w:pPr>
    </w:p>
    <w:p w14:paraId="091EFBD5">
      <w:pPr>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32"/>
          <w:szCs w:val="24"/>
          <w:lang w:val="en-US" w:eastAsia="zh-CN" w:bidi="ar-SA"/>
        </w:rPr>
        <w:t xml:space="preserve"> 4 结构性过剩：供给侧狂飙与需求侧滞后的裂谷</w:t>
      </w:r>
    </w:p>
    <w:p w14:paraId="7DD5E67A">
      <w:pPr>
        <w:rPr>
          <w:rFonts w:hint="eastAsia"/>
        </w:rPr>
      </w:pPr>
    </w:p>
    <w:p w14:paraId="1FED5780">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这场算力军备竞赛的直接后果，是供给侧高速扩张与需求侧实际消化能力之间的裂谷日益扩大。</w:t>
      </w:r>
    </w:p>
    <w:p w14:paraId="288F9F04">
      <w:pPr>
        <w:rPr>
          <w:rFonts w:hint="eastAsia"/>
        </w:rPr>
      </w:pPr>
    </w:p>
    <w:p w14:paraId="3C0AAB17">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利用率数据是最直接的证据。2024年上半年全国智算中心平均实际使用量不及总供给的三分之一，各智算中心算力出租率普遍在20%至30%之间。到2026年3月，虽然全国智算中心平均利用率有所回升，仍不到60%。西部某千卡规模智算中心的数据更具警示意义：上架率不足50%，实际利用率不足30%，年运营成本超过3000万元，收入远不能覆盖支出。</w:t>
      </w:r>
    </w:p>
    <w:p w14:paraId="59FABED1">
      <w:pPr>
        <w:rPr>
          <w:rFonts w:hint="eastAsia"/>
        </w:rPr>
      </w:pPr>
    </w:p>
    <w:p w14:paraId="6E7A78EC">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问题不止于利用率低下，更在于结构性的“东紧西闲”。东部对高端低延迟算力的需求持续旺盛，而西部大量算力处于闲置状态。贵州的案例最具代表性：总算力规模已达160 EFLOPS，智算占比超90%，但90%以上的用户来自省外。本地实体经济对算力的消化能力极为薄弱，使贵州成为一个典型的“算力输出省”——规模庞大，但本地产业受益有限。“先建后卖”的房地产思维导致资源空转，无法形成算力建设与产业发展的正向循环。</w:t>
      </w:r>
    </w:p>
    <w:p w14:paraId="171CC24D">
      <w:pPr>
        <w:rPr>
          <w:rFonts w:hint="eastAsia"/>
        </w:rPr>
      </w:pPr>
    </w:p>
    <w:p w14:paraId="64794187">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任正非的警告在此刻显得尤为深刻。当前算力需求预测多采用“线性外推”的方法——将大模型训练需求的爆发式增长简单投射为未来算力需求的持续指数上升。但真实世界的需求是非线性的。大模型训练需求集中在少数头部企业，而千行百业的AI应用需求并非同等规模量级。一个炼钢炉前的AI缺陷检测系统所需的算力，与训练一个万亿参数大模型所需的算力根本不在同一数量级。供给侧按照“更大更快更强”的竞赛逻辑狂飙突进，需求侧却遵循着碎片化、场景化、渐进式的产业落地节奏——供需逻辑的错配，正是结构性过剩的深层根源。</w:t>
      </w:r>
    </w:p>
    <w:p w14:paraId="06A7B2A9">
      <w:pPr>
        <w:rPr>
          <w:rFonts w:hint="eastAsia"/>
        </w:rPr>
      </w:pPr>
    </w:p>
    <w:p w14:paraId="3095C5BF">
      <w:pPr>
        <w:rPr>
          <w:rFonts w:hint="eastAsia"/>
        </w:rPr>
      </w:pPr>
    </w:p>
    <w:p w14:paraId="5BC45444">
      <w:pPr>
        <w:rPr>
          <w:rFonts w:hint="eastAsia" w:ascii="黑体" w:hAnsi="宋体" w:eastAsia="黑体" w:cs="黑体"/>
          <w:b/>
          <w:bCs/>
          <w:kern w:val="2"/>
          <w:sz w:val="32"/>
          <w:szCs w:val="24"/>
          <w:lang w:val="en-US" w:eastAsia="zh-CN" w:bidi="ar-SA"/>
        </w:rPr>
      </w:pPr>
      <w:bookmarkStart w:id="0" w:name="_GoBack"/>
      <w:r>
        <w:rPr>
          <w:rFonts w:hint="eastAsia" w:ascii="黑体" w:hAnsi="宋体" w:eastAsia="黑体" w:cs="黑体"/>
          <w:b/>
          <w:bCs/>
          <w:kern w:val="2"/>
          <w:sz w:val="32"/>
          <w:szCs w:val="24"/>
          <w:lang w:val="en-US" w:eastAsia="zh-CN" w:bidi="ar-SA"/>
        </w:rPr>
        <w:t xml:space="preserve"> 5 全球坐标：中美算力竞赛的镜像反思</w:t>
      </w:r>
    </w:p>
    <w:bookmarkEnd w:id="0"/>
    <w:p w14:paraId="7F779871">
      <w:pPr>
        <w:rPr>
          <w:rFonts w:hint="eastAsia"/>
        </w:rPr>
      </w:pPr>
    </w:p>
    <w:p w14:paraId="59E0144F">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将中国算力军备竞赛置于全球背景下审视，有助于厘清“适度超前”与“过度投资”之间的边界。</w:t>
      </w:r>
    </w:p>
    <w:p w14:paraId="0E553F9E">
      <w:pPr>
        <w:rPr>
          <w:rFonts w:hint="eastAsia"/>
        </w:rPr>
      </w:pPr>
    </w:p>
    <w:p w14:paraId="4777AA4F">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美国“星门计划”是当前全球最激进的算力投资项目——由OpenAI联合软银、甲骨文组建合资公司，计划四年内投资5000亿美元打造吉瓦级超级计算基础设施。谷歌、微软、亚马逊、Meta等科技巨头2026年的AI资本开支计划高达数千亿美元。全球算力竞争确实正在进入一个史无前例的高投入周期。</w:t>
      </w:r>
    </w:p>
    <w:p w14:paraId="6D28679D">
      <w:pPr>
        <w:rPr>
          <w:rFonts w:hint="eastAsia"/>
        </w:rPr>
      </w:pPr>
    </w:p>
    <w:p w14:paraId="21080018">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但中美两国算力建设模式存在关键差异。美国主要由私营科技企业主导算力投资，投资决策直接绑定自身的AI业务需求和商业化前景。这种模式下虽然也存在过度投资的风险，但至少投资主体对产能过剩的后果承担直接责任。中国则由政府规划与市场投资双轮驱动，地方政府在产业政策导向下具有更强的投资冲动，而最终的风险可能由地方财政和国有资本承担。两种模式各有优劣，但显然，当投资决策者对投资失败的“痛感”不同时，决策的审慎程度也必然不同。</w:t>
      </w:r>
    </w:p>
    <w:p w14:paraId="68036893">
      <w:pPr>
        <w:rPr>
          <w:rFonts w:hint="eastAsia"/>
        </w:rPr>
      </w:pPr>
    </w:p>
    <w:p w14:paraId="6EC45F46">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在此背景下，国务院《关于深入实施“人工智能+”行动的意见》明确2027年智能算力国产化率超过70%的目标，工信部算力强基“揭榜”行动对国产芯片初创企业给予倾斜支持。这些政策在推动技术自主方面具有战略合理性，但同样需要警惕“国产替代”叙事下的新一轮产能过剩——当政策补贴同时刺激了供给侧的国产芯片产能扩张和需求侧的算力采购时，如果供需两端的增速不能有效匹配，结构性过剩的风险将进一步加剧。</w:t>
      </w:r>
    </w:p>
    <w:p w14:paraId="1A2A664C">
      <w:pPr>
        <w:rPr>
          <w:rFonts w:hint="eastAsia"/>
        </w:rPr>
      </w:pPr>
    </w:p>
    <w:p w14:paraId="223B90E0">
      <w:pPr>
        <w:rPr>
          <w:rFonts w:hint="eastAsia"/>
        </w:rPr>
      </w:pPr>
    </w:p>
    <w:p w14:paraId="302AE633">
      <w:pPr>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32"/>
          <w:szCs w:val="24"/>
          <w:lang w:val="en-US" w:eastAsia="zh-CN" w:bidi="ar-SA"/>
        </w:rPr>
        <w:t xml:space="preserve"> 6 结论：从“铺摊子”到“上台阶”</w:t>
      </w:r>
    </w:p>
    <w:p w14:paraId="5E9141D8">
      <w:pPr>
        <w:rPr>
          <w:rFonts w:hint="eastAsia"/>
        </w:rPr>
      </w:pPr>
    </w:p>
    <w:p w14:paraId="01B763BA">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当前中国算力产业正站在一个关键的结构性拐点上。</w:t>
      </w:r>
    </w:p>
    <w:p w14:paraId="767A5EE7">
      <w:pPr>
        <w:rPr>
          <w:rFonts w:hint="eastAsia"/>
        </w:rPr>
      </w:pPr>
    </w:p>
    <w:p w14:paraId="572B3572">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此前的核心任务是“建起来”——通过大规模投资迅速形成算力供给能力，支撑AI大模型训练和推理需求，在全球算力竞赛中占据一席之地。这一阶段性的历史任务已经完成得相当出色。下一阶段的核心任务应当转向“用起来”——让已经建成的算力资源找到可持续的需求出口，避免从“适度超前”滑向“严重过剩”。</w:t>
      </w:r>
    </w:p>
    <w:p w14:paraId="25239CF8">
      <w:pPr>
        <w:rPr>
          <w:rFonts w:hint="eastAsia"/>
        </w:rPr>
      </w:pPr>
    </w:p>
    <w:p w14:paraId="50CA2E54">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为此，制度建设的重点需要从供给侧激励转向供需双侧协调。在供给侧，坚决遏制低效重复建设，对于利用率长期低于警戒线的项目，果断实施整合或退出，推广“算力券”等补贴工具的绩效评估机制，确保补贴与实际产出挂钩。在需求侧，通过“人工智能+”行动、工业数字化转型、智慧城市建设等国家战略，持续创造真实的应用场景和算力需求，鼓励龙头企业开放场景，与中小型智算中心形成供需对接。在协调机制层面，强化全国一体化算力网的调度功能，打破行政区划壁垒，将闲置算力高效配置到需求集中区域。</w:t>
      </w:r>
    </w:p>
    <w:p w14:paraId="7D08ED22">
      <w:pPr>
        <w:rPr>
          <w:rFonts w:hint="eastAsia"/>
        </w:rPr>
      </w:pPr>
    </w:p>
    <w:p w14:paraId="7A89A125">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新型举国体制的优势在于“集中力量办大事”，但集中力量的前提是明确什么事值得集中力量去办。在算力领域，“大事”不是每个城市都建一个智算中心，而是在全国范围内形成一盘棋的供需精准匹配。中国以8个枢纽节点为骨干、覆盖全国的算力网络布局，已经具备了实现这一目标的基础设施条件。关键在于，能否以制度创新遏制地方投资的非理性冲动，让算力建设真正服务于产业需求，而非停留在规模竞赛的数据攀比之中。</w:t>
      </w:r>
    </w:p>
    <w:p w14:paraId="0CB57705">
      <w:pPr>
        <w:rPr>
          <w:rFonts w:hint="eastAsia"/>
        </w:rPr>
      </w:pPr>
    </w:p>
    <w:p w14:paraId="4143DBB9">
      <w:pPr>
        <w:rPr>
          <w:rFonts w:hint="eastAsia"/>
        </w:rPr>
      </w:pPr>
    </w:p>
    <w:p w14:paraId="02F6B485">
      <w:pPr>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32"/>
          <w:szCs w:val="24"/>
          <w:lang w:val="en-US" w:eastAsia="zh-CN" w:bidi="ar-SA"/>
        </w:rPr>
        <w:t xml:space="preserve"> 参考文献</w:t>
      </w:r>
    </w:p>
    <w:p w14:paraId="46BCE8B4">
      <w:pPr>
        <w:rPr>
          <w:rFonts w:hint="eastAsia"/>
        </w:rPr>
      </w:pPr>
    </w:p>
    <w:p w14:paraId="6387D71F">
      <w:pPr>
        <w:ind w:left="840" w:leftChars="200" w:hanging="420" w:hanging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1"/>
          <w:szCs w:val="24"/>
          <w:lang w:val="en-US" w:eastAsia="zh-CN" w:bidi="ar-SA"/>
        </w:rPr>
        <w:t>[1] 中国信通院. 先进计算暨算力发展指数蓝皮书（2025年）[R]. 2025.</w:t>
      </w:r>
    </w:p>
    <w:p w14:paraId="57F437CD">
      <w:pPr>
        <w:rPr>
          <w:rFonts w:hint="eastAsia"/>
        </w:rPr>
      </w:pPr>
    </w:p>
    <w:p w14:paraId="0580F216">
      <w:pPr>
        <w:ind w:left="840" w:leftChars="200" w:hanging="420" w:hanging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1"/>
          <w:szCs w:val="24"/>
          <w:lang w:val="en-US" w:eastAsia="zh-CN" w:bidi="ar-SA"/>
        </w:rPr>
        <w:t>[2] 国家发改委等五部门. 深入实施“东数西算”工程 加快构建全国一体化算力网的实施意见[Z]. 2023-12.</w:t>
      </w:r>
    </w:p>
    <w:p w14:paraId="1F888B87">
      <w:pPr>
        <w:rPr>
          <w:rFonts w:hint="eastAsia"/>
        </w:rPr>
      </w:pPr>
    </w:p>
    <w:p w14:paraId="6C48F23B">
      <w:pPr>
        <w:ind w:left="840" w:leftChars="200" w:hanging="420" w:hanging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1"/>
          <w:szCs w:val="24"/>
          <w:lang w:val="en-US" w:eastAsia="zh-CN" w:bidi="ar-SA"/>
        </w:rPr>
        <w:t>[3] 国务院. 关于深入实施“人工智能+”行动的意见（国发〔2025〕11号）[Z]. 2025-08.</w:t>
      </w:r>
    </w:p>
    <w:p w14:paraId="50376618">
      <w:pPr>
        <w:rPr>
          <w:rFonts w:hint="eastAsia"/>
        </w:rPr>
      </w:pPr>
    </w:p>
    <w:p w14:paraId="3CE5092C">
      <w:pPr>
        <w:ind w:left="840" w:leftChars="200" w:hanging="420" w:hanging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1"/>
          <w:szCs w:val="24"/>
          <w:lang w:val="en-US" w:eastAsia="zh-CN" w:bidi="ar-SA"/>
        </w:rPr>
        <w:t>[4] 国务院. 2026年政府工作报告[R]. 2026-03.</w:t>
      </w:r>
    </w:p>
    <w:p w14:paraId="5213E201">
      <w:pPr>
        <w:rPr>
          <w:rFonts w:hint="eastAsia"/>
        </w:rPr>
      </w:pPr>
    </w:p>
    <w:p w14:paraId="75FB81A9">
      <w:pPr>
        <w:ind w:left="840" w:leftChars="200" w:hanging="420" w:hanging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1"/>
          <w:szCs w:val="24"/>
          <w:lang w:val="en-US" w:eastAsia="zh-CN" w:bidi="ar-SA"/>
        </w:rPr>
        <w:t>[5] 全国人大. “十五五”规划纲要[Z]. 2026.</w:t>
      </w:r>
    </w:p>
    <w:p w14:paraId="432757E8">
      <w:pPr>
        <w:rPr>
          <w:rFonts w:hint="eastAsia"/>
        </w:rPr>
      </w:pPr>
    </w:p>
    <w:p w14:paraId="7593CB4E">
      <w:pPr>
        <w:ind w:left="840" w:leftChars="200" w:hanging="420" w:hanging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1"/>
          <w:szCs w:val="24"/>
          <w:lang w:val="en-US" w:eastAsia="zh-CN" w:bidi="ar-SA"/>
        </w:rPr>
        <w:t>[6] 工信部, 国家数据局. 2026年“模数共振”行动通知（工信厅联科函〔2026〕193号）[Z]. 2026-04.</w:t>
      </w:r>
    </w:p>
    <w:p w14:paraId="615050A6">
      <w:pPr>
        <w:rPr>
          <w:rFonts w:hint="eastAsia"/>
        </w:rPr>
      </w:pPr>
    </w:p>
    <w:p w14:paraId="545D4D19">
      <w:pPr>
        <w:ind w:left="840" w:leftChars="200" w:hanging="420" w:hanging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1"/>
          <w:szCs w:val="24"/>
          <w:lang w:val="en-US" w:eastAsia="zh-CN" w:bidi="ar-SA"/>
        </w:rPr>
        <w:t>[7] 国家数据局. 2026年数字经济发展工作要点[Z]. 2026-05.</w:t>
      </w:r>
    </w:p>
    <w:p w14:paraId="531E10A3">
      <w:pPr>
        <w:rPr>
          <w:rFonts w:hint="eastAsia"/>
        </w:rPr>
      </w:pPr>
    </w:p>
    <w:p w14:paraId="6BDA1531">
      <w:pPr>
        <w:ind w:left="840" w:leftChars="200" w:hanging="420" w:hanging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1"/>
          <w:szCs w:val="24"/>
          <w:lang w:val="en-US" w:eastAsia="zh-CN" w:bidi="ar-SA"/>
        </w:rPr>
        <w:t>[8] 中国电信研究院. 智算产业发展研究报告（2025）[R]. 2025.</w:t>
      </w:r>
    </w:p>
    <w:p w14:paraId="067004D0">
      <w:pPr>
        <w:rPr>
          <w:rFonts w:hint="eastAsia"/>
        </w:rPr>
      </w:pPr>
    </w:p>
    <w:p w14:paraId="165270EB">
      <w:pPr>
        <w:ind w:left="840" w:leftChars="200" w:hanging="420" w:hanging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1"/>
          <w:szCs w:val="24"/>
          <w:lang w:val="en-US" w:eastAsia="zh-CN" w:bidi="ar-SA"/>
        </w:rPr>
        <w:t>[9] 任正非. 与全球顶尖程序员座谈发言[EB/OL]. 2025.</w:t>
      </w:r>
    </w:p>
    <w:p w14:paraId="1749D5BF">
      <w:pPr>
        <w:rPr>
          <w:rFonts w:hint="eastAsia"/>
        </w:rPr>
      </w:pPr>
    </w:p>
    <w:p w14:paraId="15B10698">
      <w:pPr>
        <w:ind w:left="840" w:leftChars="200" w:hanging="420" w:hanging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1"/>
          <w:szCs w:val="24"/>
          <w:lang w:val="en-US" w:eastAsia="zh-CN" w:bidi="ar-SA"/>
        </w:rPr>
        <w:t>[10] 全国政协委员史可. 科学规划 严格监管 谨防智算中心成为“数字烂尾楼”[R]. 2025年全国两会发言.</w:t>
      </w:r>
    </w:p>
    <w:p w14:paraId="4DA11E4A">
      <w:pPr>
        <w:rPr>
          <w:rFonts w:hint="eastAsia"/>
        </w:rPr>
      </w:pPr>
    </w:p>
    <w:p w14:paraId="4571D8F2">
      <w:pPr>
        <w:ind w:left="840" w:leftChars="200" w:hanging="420" w:hanging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1"/>
          <w:szCs w:val="24"/>
          <w:lang w:val="en-US" w:eastAsia="zh-CN" w:bidi="ar-SA"/>
        </w:rPr>
        <w:t>[11] 人民网. 建设智算中心不是“盖房子”[EB/OL]. 2025-02.</w:t>
      </w:r>
    </w:p>
    <w:p w14:paraId="538DAA29">
      <w:pPr>
        <w:rPr>
          <w:rFonts w:hint="eastAsia"/>
        </w:rPr>
      </w:pPr>
    </w:p>
    <w:p w14:paraId="1C8DD6A0">
      <w:pPr>
        <w:ind w:left="840" w:leftChars="200" w:hanging="420" w:hanging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1"/>
          <w:szCs w:val="24"/>
          <w:lang w:val="en-US" w:eastAsia="zh-CN" w:bidi="ar-SA"/>
        </w:rPr>
        <w:t>[12] 浙江省经济信息中心. 走出算力产业发展误区[EB/OL]. 2026-05.</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D810A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8</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2026-06-05T08:13:55Z</dcterms:created>
  <dc:creator>永远健康</dc:creator>
  <cp:lastModifiedBy>WPS_1719835985</cp:lastModifiedBy>
  <dcterms:modified xsi:type="dcterms:W3CDTF">2026-06-05T08:22:15Z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eyJoZGlkIjoiYTYxYTFkMTUxZjYwYjllOGYyNWI2Mjk3YzVhYmMyZDIiLCJ1c2VySWQiOiIxNjEyNDI0NDQyIn0=</vt:lpwstr>
  </property>
  <property fmtid="{D5CDD505-2E9C-101B-9397-08002B2CF9AE}" pid="4" name="ICV">
    <vt:lpwstr>244DC56FBF7C44D8831ABF615EE7D149_12</vt:lpwstr>
  </property>
</Properties>
</file>