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DA97B">
      <w:pPr>
        <w:pStyle w:val="2"/>
        <w:spacing w:after="330" w:afterLines="0"/>
        <w:jc w:val="center"/>
        <w:rPr>
          <w:rFonts w:asciiTheme="minorHAnsi" w:hAnsiTheme="minorHAnsi" w:eastAsiaTheme="minorEastAsia" w:cstheme="minorBidi"/>
          <w:kern w:val="2"/>
          <w:sz w:val="36"/>
          <w:szCs w:val="36"/>
          <w:lang w:val="en-US" w:eastAsia="zh-CN" w:bidi="ar-SA"/>
        </w:rPr>
      </w:pPr>
      <w:r>
        <w:rPr>
          <w:rFonts w:hint="eastAsia" w:asciiTheme="minorHAnsi" w:hAnsiTheme="minorHAnsi" w:eastAsiaTheme="minorEastAsia" w:cstheme="minorBidi"/>
          <w:kern w:val="2"/>
          <w:sz w:val="36"/>
          <w:szCs w:val="36"/>
          <w:lang w:val="en-US" w:eastAsia="zh-CN" w:bidi="ar-SA"/>
        </w:rPr>
        <w:t>能源、算力与智能的“不可能三角”：全球AI竞速的终极瓶颈</w:t>
      </w:r>
    </w:p>
    <w:p w14:paraId="7C32645D">
      <w:pPr>
        <w:rPr>
          <w:rFonts w:hint="eastAsia"/>
        </w:rPr>
      </w:pPr>
    </w:p>
    <w:p w14:paraId="595E7CF6">
      <w:pPr>
        <w:rPr>
          <w:rFonts w:hint="eastAsia"/>
        </w:rPr>
      </w:pPr>
    </w:p>
    <w:p w14:paraId="037F6F78">
      <w:pPr>
        <w:rPr>
          <w:rFonts w:hint="eastAsia" w:eastAsiaTheme="minorEastAsia"/>
          <w:lang w:eastAsia="zh-CN"/>
        </w:rPr>
      </w:pPr>
      <w:r>
        <w:rPr>
          <w:rFonts w:hint="eastAsia"/>
        </w:rPr>
        <w:t>AIGC使用声明</w:t>
      </w:r>
    </w:p>
    <w:p w14:paraId="20AEEDE1">
      <w:pPr>
        <w:rPr>
          <w:rFonts w:hint="eastAsi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0FCC95A2">
      <w:pPr>
        <w:rPr>
          <w:rFonts w:hint="eastAsia"/>
        </w:rPr>
      </w:pPr>
    </w:p>
    <w:p w14:paraId="58B4CE87">
      <w:pPr>
        <w:rPr>
          <w:rFonts w:hint="eastAsia"/>
        </w:rPr>
      </w:pPr>
    </w:p>
    <w:p w14:paraId="362C9B19">
      <w:pPr>
        <w:pStyle w:val="3"/>
        <w:spacing w:after="260" w:afterLines="0"/>
        <w:jc w:val="center"/>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摘要</w:t>
      </w:r>
    </w:p>
    <w:p w14:paraId="713A2E47">
      <w:pPr>
        <w:rPr>
          <w:rFonts w:hint="eastAsia"/>
        </w:rPr>
      </w:pPr>
    </w:p>
    <w:p w14:paraId="1C16830E">
      <w:pPr>
        <w:rPr>
          <w:rFonts w:hint="eastAsia"/>
        </w:rPr>
      </w:pPr>
      <w:r>
        <w:rPr>
          <w:rFonts w:hint="default" w:ascii="宋体" w:hAnsi="宋体" w:eastAsia="宋体" w:cs="宋体"/>
          <w:kern w:val="2"/>
          <w:sz w:val="24"/>
          <w:szCs w:val="24"/>
          <w:lang w:val="en-US" w:eastAsia="zh-CN" w:bidi="ar-SA"/>
        </w:rPr>
        <w:t>2026年6月，三个看似独立的事件在全球科技版图上几乎同时发生：英伟达发布Cosmos 3物理AI基础模型，将机器人训练周期从数月压缩至数天，预示着一个“万物皆需AI”的智能泛在化时代正在到来；中国所有省份在“十五五”规划中不约而同地锚定人工智能和算力作为核心战略，全国智算中心建设进入爆发期，但利用率不足与结构性过剩的隐忧同步累积；美国加速推进小型模块化核反应堆商业化，试图以核能革命破解AI数据中心对电力的指数级需求与净零排放目标之间的根本性矛盾。</w:t>
      </w:r>
    </w:p>
    <w:p w14:paraId="284689C0">
      <w:pPr>
        <w:rPr>
          <w:rFonts w:hint="eastAsia"/>
        </w:rPr>
      </w:pPr>
    </w:p>
    <w:p w14:paraId="2C7FA1A6">
      <w:pPr>
        <w:rPr>
          <w:rFonts w:hint="eastAsia"/>
        </w:rPr>
      </w:pPr>
      <w:r>
        <w:rPr>
          <w:rFonts w:hint="default" w:ascii="宋体" w:hAnsi="宋体" w:eastAsia="宋体" w:cs="宋体"/>
          <w:kern w:val="2"/>
          <w:sz w:val="24"/>
          <w:szCs w:val="24"/>
          <w:lang w:val="en-US" w:eastAsia="zh-CN" w:bidi="ar-SA"/>
        </w:rPr>
        <w:t>本文试图论证：这三条新闻线索的共同指向，是当前全球AI竞速正在逼近一个“不可能三角”——智能能力的无限扩张、算力基础设施的物理极限与能源供给的碳约束之间，正在形成一种难以调和的系统性紧张。智能越强，对算力的需求越大；算力越集中，对能源的消耗越惊人；能源越依赖传统化石燃料，气候承诺就越遥不可及。任何一个顶点都无法单独妥协，三者的张力将塑造未来十年全球AI竞争的基本格局。本文从技术、产业与能源三个维度展开分析，揭示这一“不可能三角”的内在机制，并探讨破解路径的制度条件。本文的核心判断是：AI竞争的终极决胜因素，可能不在于谁的模型参数更大，而在于谁率先突破能源约束的物理极限。</w:t>
      </w:r>
    </w:p>
    <w:p w14:paraId="536A9C8D">
      <w:pPr>
        <w:rPr>
          <w:rFonts w:hint="eastAsia"/>
        </w:rPr>
      </w:pPr>
    </w:p>
    <w:p w14:paraId="4C907164">
      <w:pPr>
        <w:rPr>
          <w:rFonts w:hint="eastAsia"/>
        </w:rPr>
      </w:pPr>
    </w:p>
    <w:p w14:paraId="21022DFC">
      <w:pPr>
        <w:pStyle w:val="3"/>
        <w:spacing w:after="260" w:afterLines="0"/>
        <w:rPr>
          <w:rFonts w:asciiTheme="minorHAnsi" w:hAnsiTheme="minorHAnsi" w:eastAsiaTheme="minorEastAsia" w:cstheme="minorBidi"/>
          <w:kern w:val="2"/>
          <w:sz w:val="21"/>
          <w:szCs w:val="24"/>
          <w:lang w:val="en-US" w:eastAsia="zh-CN" w:bidi="ar-SA"/>
        </w:rPr>
      </w:pPr>
      <w:bookmarkStart w:id="0" w:name="_GoBack"/>
      <w:r>
        <w:rPr>
          <w:rFonts w:hint="eastAsia" w:asciiTheme="minorHAnsi" w:hAnsiTheme="minorHAnsi" w:eastAsiaTheme="minorEastAsia" w:cstheme="minorBidi"/>
          <w:kern w:val="2"/>
          <w:sz w:val="21"/>
          <w:szCs w:val="24"/>
          <w:lang w:val="en-US" w:eastAsia="zh-CN" w:bidi="ar-SA"/>
        </w:rPr>
        <w:t>1 引言：三条新闻背后的同一个方程</w:t>
      </w:r>
    </w:p>
    <w:bookmarkEnd w:id="0"/>
    <w:p w14:paraId="1EDF5BEF">
      <w:pPr>
        <w:rPr>
          <w:rFonts w:hint="eastAsia"/>
        </w:rPr>
      </w:pPr>
    </w:p>
    <w:p w14:paraId="7B129B25">
      <w:pPr>
        <w:rPr>
          <w:rFonts w:hint="eastAsia"/>
        </w:rPr>
      </w:pPr>
      <w:r>
        <w:rPr>
          <w:rFonts w:hint="default" w:ascii="宋体" w:hAnsi="宋体" w:eastAsia="宋体" w:cs="宋体"/>
          <w:kern w:val="2"/>
          <w:sz w:val="24"/>
          <w:szCs w:val="24"/>
          <w:lang w:val="en-US" w:eastAsia="zh-CN" w:bidi="ar-SA"/>
        </w:rPr>
        <w:t>2026年6月5日，英伟达发布Cosmos 3物理AI基础模型。在技术参数的喧嚣背后，一组数据尤为触目：Cosmos 3 Super版本需4至8张H100或B200 GPU支持，而B200单芯片功耗已攀升至1000瓦级别。一个部署完整Cosmos 3 Super系统的服务器集群，其功耗已经相当于一个小型工厂。</w:t>
      </w:r>
    </w:p>
    <w:p w14:paraId="64F9B59B">
      <w:pPr>
        <w:rPr>
          <w:rFonts w:hint="eastAsia"/>
        </w:rPr>
      </w:pPr>
    </w:p>
    <w:p w14:paraId="64C67A68">
      <w:pPr>
        <w:rPr>
          <w:rFonts w:hint="eastAsia"/>
        </w:rPr>
      </w:pPr>
      <w:r>
        <w:rPr>
          <w:rFonts w:hint="default" w:ascii="宋体" w:hAnsi="宋体" w:eastAsia="宋体" w:cs="宋体"/>
          <w:kern w:val="2"/>
          <w:sz w:val="24"/>
          <w:szCs w:val="24"/>
          <w:lang w:val="en-US" w:eastAsia="zh-CN" w:bidi="ar-SA"/>
        </w:rPr>
        <w:t>几乎同一时间，美国能源部批准了Last Energy公司的PWR-5小型模块化反应堆初步安全评审。谷歌、亚马逊、微软已签署超过2吉瓦的SMR采购协议，科技巨头们罕见地直接介入核电建设。谷歌明确目标：2030年实现数据中心由SMR供电占比超过30%。</w:t>
      </w:r>
    </w:p>
    <w:p w14:paraId="5C5D7C35">
      <w:pPr>
        <w:rPr>
          <w:rFonts w:hint="eastAsia"/>
        </w:rPr>
      </w:pPr>
    </w:p>
    <w:p w14:paraId="35BC8570">
      <w:pPr>
        <w:rPr>
          <w:rFonts w:hint="eastAsia"/>
        </w:rPr>
      </w:pPr>
      <w:r>
        <w:rPr>
          <w:rFonts w:hint="default" w:ascii="宋体" w:hAnsi="宋体" w:eastAsia="宋体" w:cs="宋体"/>
          <w:kern w:val="2"/>
          <w:sz w:val="24"/>
          <w:szCs w:val="24"/>
          <w:lang w:val="en-US" w:eastAsia="zh-CN" w:bidi="ar-SA"/>
        </w:rPr>
        <w:t>在中国，所有省份的“十五五”规划都将人工智能和算力列为战略核心。全国智算中心建设已全面铺开，智能算力规模以年均96%的增速扩张，到2035年AI相关产业规模预计突破10万亿元。但在这组辉煌数据的背后，不容回避的阴影是：全国智算中心平均实际利用率长期在低谷徘徊，而一个千卡规模智算中心的年运营成本已超过3000万元，其中电力成本占比超过一半。</w:t>
      </w:r>
    </w:p>
    <w:p w14:paraId="2FF591B7">
      <w:pPr>
        <w:rPr>
          <w:rFonts w:hint="eastAsia"/>
        </w:rPr>
      </w:pPr>
    </w:p>
    <w:p w14:paraId="18F1D274">
      <w:pPr>
        <w:rPr>
          <w:rFonts w:hint="eastAsia"/>
        </w:rPr>
      </w:pPr>
      <w:r>
        <w:rPr>
          <w:rFonts w:hint="default" w:ascii="宋体" w:hAnsi="宋体" w:eastAsia="宋体" w:cs="宋体"/>
          <w:kern w:val="2"/>
          <w:sz w:val="24"/>
          <w:szCs w:val="24"/>
          <w:lang w:val="en-US" w:eastAsia="zh-CN" w:bidi="ar-SA"/>
        </w:rPr>
        <w:t>这三条新闻原本分属于不同的报道领域——AI技术突破、能源政策调整、地方产业规划。但在一个更深的层面上，它们被同一个方程所统摄：智能的能力边界由算力的规模决定，算力的扩张极限由能源的供给约束，而能源的供给方式又受制于气候承诺的碳约束。智能、算力、能源——三个变量相互嵌套，任何一个的突破都依赖另外两个的协同。这就是本文所谓的全球AI竞速的“不可能三角”。</w:t>
      </w:r>
    </w:p>
    <w:p w14:paraId="7461AFA6">
      <w:pPr>
        <w:rPr>
          <w:rFonts w:hint="eastAsia"/>
        </w:rPr>
      </w:pPr>
    </w:p>
    <w:p w14:paraId="599A32C6">
      <w:pPr>
        <w:rPr>
          <w:rFonts w:hint="eastAsia"/>
        </w:rPr>
      </w:pPr>
      <w:r>
        <w:rPr>
          <w:rFonts w:hint="default" w:ascii="宋体" w:hAnsi="宋体" w:eastAsia="宋体" w:cs="宋体"/>
          <w:kern w:val="2"/>
          <w:sz w:val="24"/>
          <w:szCs w:val="24"/>
          <w:lang w:val="en-US" w:eastAsia="zh-CN" w:bidi="ar-SA"/>
        </w:rPr>
        <w:t>本文试图从这一三角的三个顶点分别切入，剖析其各自的扩张逻辑、瓶颈约束与相互传导机制，最终追问：在这场全球AI竞速中，终极的决胜因素究竟是什么？</w:t>
      </w:r>
    </w:p>
    <w:p w14:paraId="477916B7">
      <w:pPr>
        <w:rPr>
          <w:rFonts w:hint="eastAsia"/>
        </w:rPr>
      </w:pPr>
    </w:p>
    <w:p w14:paraId="2559CFE9">
      <w:pPr>
        <w:rPr>
          <w:rFonts w:hint="eastAsia"/>
        </w:rPr>
      </w:pPr>
    </w:p>
    <w:p w14:paraId="1C71481F">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智能的饕餮：物理AI时代对算力的指数级吞噬</w:t>
      </w:r>
    </w:p>
    <w:p w14:paraId="45F8D086">
      <w:pPr>
        <w:rPr>
          <w:rFonts w:hint="eastAsia"/>
        </w:rPr>
      </w:pPr>
    </w:p>
    <w:p w14:paraId="3066411C">
      <w:pPr>
        <w:rPr>
          <w:rFonts w:hint="eastAsia"/>
        </w:rPr>
      </w:pPr>
      <w:r>
        <w:rPr>
          <w:rFonts w:hint="default" w:ascii="宋体" w:hAnsi="宋体" w:eastAsia="宋体" w:cs="宋体"/>
          <w:kern w:val="2"/>
          <w:sz w:val="24"/>
          <w:szCs w:val="24"/>
          <w:lang w:val="en-US" w:eastAsia="zh-CN" w:bidi="ar-SA"/>
        </w:rPr>
        <w:t>理解“不可能三角”的起点，在于理解当前AI技术迭代对算力需求的吞噬速度。</w:t>
      </w:r>
    </w:p>
    <w:p w14:paraId="513B9195">
      <w:pPr>
        <w:rPr>
          <w:rFonts w:hint="eastAsia"/>
        </w:rPr>
      </w:pPr>
    </w:p>
    <w:p w14:paraId="07364F94">
      <w:pPr>
        <w:rPr>
          <w:rFonts w:hint="eastAsia"/>
        </w:rPr>
      </w:pPr>
      <w:r>
        <w:rPr>
          <w:rFonts w:hint="default" w:ascii="宋体" w:hAnsi="宋体" w:eastAsia="宋体" w:cs="宋体"/>
          <w:kern w:val="2"/>
          <w:sz w:val="24"/>
          <w:szCs w:val="24"/>
          <w:lang w:val="en-US" w:eastAsia="zh-CN" w:bidi="ar-SA"/>
        </w:rPr>
        <w:t>Cosmos 3的发布为此提供了一个精确的观测窗口。从技术架构看，Cosmos 3的混合Transformer双塔模型将视觉推理、世界生成与动作预测整合为单一系统，其训练所需的计算量远超传统单模态模型。更关键的是，Cosmos 3并非生成式AI的简单延续——它不是生成文本或图像，而是生成符合物理规则的动态世界。这意味着每一次推理都需要实时计算重力、碰撞、摩擦等物理参数，计算密度较传统语言模型提升了数个量级。</w:t>
      </w:r>
    </w:p>
    <w:p w14:paraId="23808ED2">
      <w:pPr>
        <w:rPr>
          <w:rFonts w:hint="eastAsia"/>
        </w:rPr>
      </w:pPr>
    </w:p>
    <w:p w14:paraId="0EBD52FE">
      <w:pPr>
        <w:rPr>
          <w:rFonts w:hint="eastAsia"/>
        </w:rPr>
      </w:pPr>
      <w:r>
        <w:rPr>
          <w:rFonts w:hint="default" w:ascii="宋体" w:hAnsi="宋体" w:eastAsia="宋体" w:cs="宋体"/>
          <w:kern w:val="2"/>
          <w:sz w:val="24"/>
          <w:szCs w:val="24"/>
          <w:lang w:val="en-US" w:eastAsia="zh-CN" w:bidi="ar-SA"/>
        </w:rPr>
        <w:t>训练周期缩短的光鲜叙事——从数月压缩至3至7天——掩盖了另一个事实：这种效率提升是以算力资源的密集堆砌为代价的。Cosmos 3 Super版本需4至8张H100或B200 GPU支持，而一个完整的人形机器人训练管线可能需要数十个这样的集群并行运转。当AI从“虚拟内容生成”迈向“物理环境动态决策”，它对算力的需求不是线性的，而是阶跃式的。一个理解语言的模型只需要处理文本的概率分布，一个理解物理世界的模型则需要实时仿真万有引力。</w:t>
      </w:r>
    </w:p>
    <w:p w14:paraId="3077E92A">
      <w:pPr>
        <w:rPr>
          <w:rFonts w:hint="eastAsia"/>
        </w:rPr>
      </w:pPr>
    </w:p>
    <w:p w14:paraId="2DA9DA83">
      <w:pPr>
        <w:rPr>
          <w:rFonts w:hint="eastAsia"/>
        </w:rPr>
      </w:pPr>
      <w:r>
        <w:rPr>
          <w:rFonts w:hint="default" w:ascii="宋体" w:hAnsi="宋体" w:eastAsia="宋体" w:cs="宋体"/>
          <w:kern w:val="2"/>
          <w:sz w:val="24"/>
          <w:szCs w:val="24"/>
          <w:lang w:val="en-US" w:eastAsia="zh-CN" w:bidi="ar-SA"/>
        </w:rPr>
        <w:t>这种智能扩张对算力的饕餮需求，正在成为全球算力竞赛的底层驱动力。中国所有省份在“十五五”规划中对人工智能和算力的高度共识，正是对这一趋势的制度性回应。然而，算力的物理极限正在以另一种方式发出警告。</w:t>
      </w:r>
    </w:p>
    <w:p w14:paraId="12BD70F8">
      <w:pPr>
        <w:rPr>
          <w:rFonts w:hint="eastAsia"/>
        </w:rPr>
      </w:pPr>
    </w:p>
    <w:p w14:paraId="1CF7DFFE">
      <w:pPr>
        <w:rPr>
          <w:rFonts w:hint="eastAsia"/>
        </w:rPr>
      </w:pPr>
    </w:p>
    <w:p w14:paraId="4CDFE987">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算力的悖论：产能过剩与能源紧缺的同步降临</w:t>
      </w:r>
    </w:p>
    <w:p w14:paraId="5CFDF858">
      <w:pPr>
        <w:rPr>
          <w:rFonts w:hint="eastAsia"/>
        </w:rPr>
      </w:pPr>
    </w:p>
    <w:p w14:paraId="552555CC">
      <w:pPr>
        <w:rPr>
          <w:rFonts w:hint="eastAsia"/>
        </w:rPr>
      </w:pPr>
      <w:r>
        <w:rPr>
          <w:rFonts w:hint="default" w:ascii="宋体" w:hAnsi="宋体" w:eastAsia="宋体" w:cs="宋体"/>
          <w:kern w:val="2"/>
          <w:sz w:val="24"/>
          <w:szCs w:val="24"/>
          <w:lang w:val="en-US" w:eastAsia="zh-CN" w:bidi="ar-SA"/>
        </w:rPr>
        <w:t>中国算力产业正处于一个令人不安的结构性拐点。</w:t>
      </w:r>
    </w:p>
    <w:p w14:paraId="5302613C">
      <w:pPr>
        <w:rPr>
          <w:rFonts w:hint="eastAsia"/>
        </w:rPr>
      </w:pPr>
    </w:p>
    <w:p w14:paraId="6008EA04">
      <w:pPr>
        <w:rPr>
          <w:rFonts w:hint="eastAsia"/>
        </w:rPr>
      </w:pPr>
      <w:r>
        <w:rPr>
          <w:rFonts w:hint="default" w:ascii="宋体" w:hAnsi="宋体" w:eastAsia="宋体" w:cs="宋体"/>
          <w:kern w:val="2"/>
          <w:sz w:val="24"/>
          <w:szCs w:val="24"/>
          <w:lang w:val="en-US" w:eastAsia="zh-CN" w:bidi="ar-SA"/>
        </w:rPr>
        <w:t>一方面，供给侧的数据令人振奋。截至2025年中，全国算力总规模已达962 EFLOPS，智能算力增速高达96%。“东数西算”工程已带动超万亿元社会投资，八大枢纽节点集聚了全国60%以上的新增算力，智算规模约占全国总量的80%。</w:t>
      </w:r>
    </w:p>
    <w:p w14:paraId="77EE1D36">
      <w:pPr>
        <w:rPr>
          <w:rFonts w:hint="eastAsia"/>
        </w:rPr>
      </w:pPr>
    </w:p>
    <w:p w14:paraId="2BAE4CE5">
      <w:pPr>
        <w:rPr>
          <w:rFonts w:hint="eastAsia"/>
        </w:rPr>
      </w:pPr>
      <w:r>
        <w:rPr>
          <w:rFonts w:hint="default" w:ascii="宋体" w:hAnsi="宋体" w:eastAsia="宋体" w:cs="宋体"/>
          <w:kern w:val="2"/>
          <w:sz w:val="24"/>
          <w:szCs w:val="24"/>
          <w:lang w:val="en-US" w:eastAsia="zh-CN" w:bidi="ar-SA"/>
        </w:rPr>
        <w:t>另一方面，需求侧的信号却不容乐观。全国智算中心平均利用率长期在低位徘徊，部分三四线城市中小规模智算中心利用率甚至不足三成。有数据显示，一些地方高达80%的新建计算资源处于闲置状态。全国政协委员在两会发言中直指问题核心：“盲目跟风上马，产能出现过剩”，警示智算中心可能沦为“数字烂尾楼”。</w:t>
      </w:r>
    </w:p>
    <w:p w14:paraId="210123BE">
      <w:pPr>
        <w:rPr>
          <w:rFonts w:hint="eastAsia"/>
        </w:rPr>
      </w:pPr>
    </w:p>
    <w:p w14:paraId="78EA9969">
      <w:pPr>
        <w:rPr>
          <w:rFonts w:hint="eastAsia"/>
        </w:rPr>
      </w:pPr>
      <w:r>
        <w:rPr>
          <w:rFonts w:hint="default" w:ascii="宋体" w:hAnsi="宋体" w:eastAsia="宋体" w:cs="宋体"/>
          <w:kern w:val="2"/>
          <w:sz w:val="24"/>
          <w:szCs w:val="24"/>
          <w:lang w:val="en-US" w:eastAsia="zh-CN" w:bidi="ar-SA"/>
        </w:rPr>
        <w:t>这一矛盾的深层成因在于算力建设与产业应用的时间错配。大模型训练需求集中在少数头部企业，而千行百业的AI应用需求尚未在规模上形成足以消化巨额算力供给的有效市场。各地政府以“适度超前”为政策依据竞相上马智算中心项目，但“适度”的边界在实践中被不断突破，最终异化为一场投资竞赛。</w:t>
      </w:r>
    </w:p>
    <w:p w14:paraId="06C716FA">
      <w:pPr>
        <w:rPr>
          <w:rFonts w:hint="eastAsia"/>
        </w:rPr>
      </w:pPr>
    </w:p>
    <w:p w14:paraId="3E7CD5AC">
      <w:pPr>
        <w:rPr>
          <w:rFonts w:hint="eastAsia"/>
        </w:rPr>
      </w:pPr>
      <w:r>
        <w:rPr>
          <w:rFonts w:hint="default" w:ascii="宋体" w:hAnsi="宋体" w:eastAsia="宋体" w:cs="宋体"/>
          <w:kern w:val="2"/>
          <w:sz w:val="24"/>
          <w:szCs w:val="24"/>
          <w:lang w:val="en-US" w:eastAsia="zh-CN" w:bidi="ar-SA"/>
        </w:rPr>
        <w:t>然而，比产能过剩更深刻的矛盾在于：即使那些已经“用起来”的算力，也正在承受能源供给的紧约束。一个千卡规模智算中心的年运营成本超过3000万元，其中电力成本占据大头。当一个大型智算集群的功耗攀升至数十兆瓦级别，其供电需求已相当于一个小型工业园区的总用电量。</w:t>
      </w:r>
    </w:p>
    <w:p w14:paraId="3DE1FE02">
      <w:pPr>
        <w:rPr>
          <w:rFonts w:hint="eastAsia"/>
        </w:rPr>
      </w:pPr>
    </w:p>
    <w:p w14:paraId="16B6521D">
      <w:pPr>
        <w:rPr>
          <w:rFonts w:hint="eastAsia"/>
        </w:rPr>
      </w:pPr>
      <w:r>
        <w:rPr>
          <w:rFonts w:hint="default" w:ascii="宋体" w:hAnsi="宋体" w:eastAsia="宋体" w:cs="宋体"/>
          <w:kern w:val="2"/>
          <w:sz w:val="24"/>
          <w:szCs w:val="24"/>
          <w:lang w:val="en-US" w:eastAsia="zh-CN" w:bidi="ar-SA"/>
        </w:rPr>
        <w:t>与此同时，中国数据中心用电的碳足迹正在成为约束变量。在“双碳”目标下，数据中心被要求提升绿电使用比例，“东数西算”工程明确规定新建数据中心绿电占比须达到80%以上。但在现实中，绿电供给的稳定性与数据中心对不间断供电的刚性需求之间存在天然矛盾——太阳能和风能是间歇性的，而智算中心不能因一片云遮住太阳而停机。于是，算力扩张与能源约束之间的张力，正在成为AI产业规模化的核心制约因素。</w:t>
      </w:r>
    </w:p>
    <w:p w14:paraId="198268A3">
      <w:pPr>
        <w:rPr>
          <w:rFonts w:hint="eastAsia"/>
        </w:rPr>
      </w:pPr>
    </w:p>
    <w:p w14:paraId="16C110D7">
      <w:pPr>
        <w:rPr>
          <w:rFonts w:hint="eastAsia"/>
        </w:rPr>
      </w:pPr>
    </w:p>
    <w:p w14:paraId="5FFD8CEA">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能源的赌注：SMR能否成为AI时代的“核聚变时刻”</w:t>
      </w:r>
    </w:p>
    <w:p w14:paraId="408DE7E0">
      <w:pPr>
        <w:rPr>
          <w:rFonts w:hint="eastAsia"/>
        </w:rPr>
      </w:pPr>
    </w:p>
    <w:p w14:paraId="50D3CF18">
      <w:pPr>
        <w:rPr>
          <w:rFonts w:hint="eastAsia"/>
        </w:rPr>
      </w:pPr>
      <w:r>
        <w:rPr>
          <w:rFonts w:hint="default" w:ascii="宋体" w:hAnsi="宋体" w:eastAsia="宋体" w:cs="宋体"/>
          <w:kern w:val="2"/>
          <w:sz w:val="24"/>
          <w:szCs w:val="24"/>
          <w:lang w:val="en-US" w:eastAsia="zh-CN" w:bidi="ar-SA"/>
        </w:rPr>
        <w:t>正是在上述困境中，小型模块化反应堆被推上了全球AI竞赛的核心舞台。</w:t>
      </w:r>
    </w:p>
    <w:p w14:paraId="2EEF8DFD">
      <w:pPr>
        <w:rPr>
          <w:rFonts w:hint="eastAsia"/>
        </w:rPr>
      </w:pPr>
    </w:p>
    <w:p w14:paraId="18140AA3">
      <w:pPr>
        <w:rPr>
          <w:rFonts w:hint="eastAsia"/>
        </w:rPr>
      </w:pPr>
      <w:r>
        <w:rPr>
          <w:rFonts w:hint="default" w:ascii="宋体" w:hAnsi="宋体" w:eastAsia="宋体" w:cs="宋体"/>
          <w:kern w:val="2"/>
          <w:sz w:val="24"/>
          <w:szCs w:val="24"/>
          <w:lang w:val="en-US" w:eastAsia="zh-CN" w:bidi="ar-SA"/>
        </w:rPr>
        <w:t>美国当前对SMR的战略押注，已超越能源政策的范畴，成为AI竞争的基础设施竞赛。科技巨头对SMR的密集采购——谷歌、亚马逊、微软已签署超2吉瓦的采购协议——揭示了一个被算力数据遮蔽的事实：AI的终极瓶颈不是芯片，而是电力。OpenAI CEO Sam Altman曾公开表示，“AI的未来取决于能源突破”。这句话不是修辞，而是对物理极限的清醒认知。</w:t>
      </w:r>
    </w:p>
    <w:p w14:paraId="40D1497B">
      <w:pPr>
        <w:rPr>
          <w:rFonts w:hint="eastAsia"/>
        </w:rPr>
      </w:pPr>
    </w:p>
    <w:p w14:paraId="05637769">
      <w:pPr>
        <w:rPr>
          <w:rFonts w:hint="eastAsia"/>
        </w:rPr>
      </w:pPr>
      <w:r>
        <w:rPr>
          <w:rFonts w:hint="default" w:ascii="宋体" w:hAnsi="宋体" w:eastAsia="宋体" w:cs="宋体"/>
          <w:kern w:val="2"/>
          <w:sz w:val="24"/>
          <w:szCs w:val="24"/>
          <w:lang w:val="en-US" w:eastAsia="zh-CN" w:bidi="ar-SA"/>
        </w:rPr>
        <w:t>与传统大型核电站相比，SMR的核心优势在于“模块化”“灵活部署”和“潜在更低的前期投资”。对于AI数据中心而言，SMR最为诱人的特征在于其可与数据中心“同址部署”——在数据中心园区内直接建设反应堆，省去长距离输电的损耗和不稳定性。对于追求毫秒级时延的AI推理服务而言，这一优势具有决定性的商业价值。</w:t>
      </w:r>
    </w:p>
    <w:p w14:paraId="148B6659">
      <w:pPr>
        <w:rPr>
          <w:rFonts w:hint="eastAsia"/>
        </w:rPr>
      </w:pPr>
    </w:p>
    <w:p w14:paraId="70C4280C">
      <w:pPr>
        <w:rPr>
          <w:rFonts w:hint="eastAsia"/>
        </w:rPr>
      </w:pPr>
      <w:r>
        <w:rPr>
          <w:rFonts w:hint="default" w:ascii="宋体" w:hAnsi="宋体" w:eastAsia="宋体" w:cs="宋体"/>
          <w:kern w:val="2"/>
          <w:sz w:val="24"/>
          <w:szCs w:val="24"/>
          <w:lang w:val="en-US" w:eastAsia="zh-CN" w:bidi="ar-SA"/>
        </w:rPr>
        <w:t>然而，SMR的商业化进程正受到多重制约。经济性的短板首当其冲——已终止的NuScale项目单位造价高达8500美元/千瓦，是同期风电成本的三倍以上。SMR失去规模效应后，单位发电成本较大型核电站反而高出20%至40%。高丰度低浓铀燃料供应的瓶颈更为棘手——美国目前仅一家企业具备小规模产能，年产能900公斤，仅为2030年预计需求的约一半。核扩散风险、监管审批的漫长时间、公众接受度等挑战同样悬而未决。</w:t>
      </w:r>
    </w:p>
    <w:p w14:paraId="377BC890">
      <w:pPr>
        <w:rPr>
          <w:rFonts w:hint="eastAsia"/>
        </w:rPr>
      </w:pPr>
    </w:p>
    <w:p w14:paraId="333E6DB8">
      <w:pPr>
        <w:rPr>
          <w:rFonts w:hint="eastAsia"/>
        </w:rPr>
      </w:pPr>
      <w:r>
        <w:rPr>
          <w:rFonts w:hint="default" w:ascii="宋体" w:hAnsi="宋体" w:eastAsia="宋体" w:cs="宋体"/>
          <w:kern w:val="2"/>
          <w:sz w:val="24"/>
          <w:szCs w:val="24"/>
          <w:lang w:val="en-US" w:eastAsia="zh-CN" w:bidi="ar-SA"/>
        </w:rPr>
        <w:t>美国SMR发展呈现出“政策热、落地冷”的典型特征。政府与科技巨头押注其为AI时代的能源基石，但经济性与供应链短板仍远未解决。若示范项目能在2030年前验证成本可控性，SMR或将成为填补可再生能源间歇性缺口的关键拼图；若无法突破高丰度低浓铀瓶颈与监管惯性，则可能重蹈NuScale项目终止的覆辙。当前的核心矛盾在于——技术可行性已基本证实，但商业可行性仍待市场检验。</w:t>
      </w:r>
    </w:p>
    <w:p w14:paraId="28C3034D">
      <w:pPr>
        <w:rPr>
          <w:rFonts w:hint="eastAsia"/>
        </w:rPr>
      </w:pPr>
    </w:p>
    <w:p w14:paraId="7C79C4E1">
      <w:pPr>
        <w:rPr>
          <w:rFonts w:hint="eastAsia"/>
        </w:rPr>
      </w:pPr>
    </w:p>
    <w:p w14:paraId="1FF905B0">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破解“不可能三角”：三条路径的制度条件</w:t>
      </w:r>
    </w:p>
    <w:p w14:paraId="4E3BACB4">
      <w:pPr>
        <w:rPr>
          <w:rFonts w:hint="eastAsia"/>
        </w:rPr>
      </w:pPr>
    </w:p>
    <w:p w14:paraId="29AFB8F7">
      <w:pPr>
        <w:rPr>
          <w:rFonts w:hint="eastAsia"/>
        </w:rPr>
      </w:pPr>
      <w:r>
        <w:rPr>
          <w:rFonts w:hint="default" w:ascii="宋体" w:hAnsi="宋体" w:eastAsia="宋体" w:cs="宋体"/>
          <w:kern w:val="2"/>
          <w:sz w:val="24"/>
          <w:szCs w:val="24"/>
          <w:lang w:val="en-US" w:eastAsia="zh-CN" w:bidi="ar-SA"/>
        </w:rPr>
        <w:t>智能、算力、能源三者的相互制约，在短期内似乎无解。但从制度设计和技术演进的长周期视角审视，三条破解路径已初现轮廓，每一条都需要特定的制度条件来支撑。</w:t>
      </w:r>
    </w:p>
    <w:p w14:paraId="765E7ECF">
      <w:pPr>
        <w:rPr>
          <w:rFonts w:hint="eastAsia"/>
        </w:rPr>
      </w:pPr>
    </w:p>
    <w:p w14:paraId="7B3AAA00">
      <w:pPr>
        <w:rPr>
          <w:rFonts w:hint="eastAsia"/>
        </w:rPr>
      </w:pPr>
      <w:r>
        <w:rPr>
          <w:rFonts w:hint="default" w:ascii="宋体" w:hAnsi="宋体" w:eastAsia="宋体" w:cs="宋体"/>
          <w:kern w:val="2"/>
          <w:sz w:val="24"/>
          <w:szCs w:val="24"/>
          <w:lang w:val="en-US" w:eastAsia="zh-CN" w:bidi="ar-SA"/>
        </w:rPr>
        <w:t>路径一：算法效率革命——让智能更“省电”。 当前的大模型训练范式——依靠海量参数和无节制算力堆砌——在功耗上是极其低效的。人脑的功耗仅约20瓦，而训练一个前沿大模型的功耗以兆瓦计。如果未来AI模型能以更稀疏的架构、更高效的推理算法实现同等能力，算力需求对能源的压力将得到一定程度的缓解。但算法效率的提升有其自身的不确定性——它依赖于基础研究的突破，不能作为可以预期的时间表。</w:t>
      </w:r>
    </w:p>
    <w:p w14:paraId="446B71CA">
      <w:pPr>
        <w:rPr>
          <w:rFonts w:hint="eastAsia"/>
        </w:rPr>
      </w:pPr>
    </w:p>
    <w:p w14:paraId="1351D99E">
      <w:pPr>
        <w:rPr>
          <w:rFonts w:hint="eastAsia"/>
        </w:rPr>
      </w:pPr>
      <w:r>
        <w:rPr>
          <w:rFonts w:hint="default" w:ascii="宋体" w:hAnsi="宋体" w:eastAsia="宋体" w:cs="宋体"/>
          <w:kern w:val="2"/>
          <w:sz w:val="24"/>
          <w:szCs w:val="24"/>
          <w:lang w:val="en-US" w:eastAsia="zh-CN" w:bidi="ar-SA"/>
        </w:rPr>
        <w:t>路径二：清洁能源基荷——让算力更“干净”。 如果AI算力的电力需求必须得到保障，同时碳排放又必须得到控制，那么唯一的出路就是大规模部署不产生碳排放、且不依赖天气的基荷电源。这正是SMR被寄予厚望的根本原因。核能是当前技术条件下唯一能够同时满足“稳定”“清洁”“可大规模部署”三项条件的选择。但SMR从示范验证到商业化规模化的跨越，至少需要解决三个制度性问题：燃料供应链的自主可控（摆脱对俄罗斯高丰度低浓铀的依赖）、监管审批流程的现代化（将平均5.2年的审批周期压缩至2年以内）、以及成本曲线的陡峭下降（单模块量产50台以上才能接近与天然气发电平价竞争）。</w:t>
      </w:r>
    </w:p>
    <w:p w14:paraId="430EB715">
      <w:pPr>
        <w:rPr>
          <w:rFonts w:hint="eastAsia"/>
        </w:rPr>
      </w:pPr>
    </w:p>
    <w:p w14:paraId="660251ED">
      <w:pPr>
        <w:rPr>
          <w:rFonts w:hint="eastAsia"/>
        </w:rPr>
      </w:pPr>
      <w:r>
        <w:rPr>
          <w:rFonts w:hint="default" w:ascii="宋体" w:hAnsi="宋体" w:eastAsia="宋体" w:cs="宋体"/>
          <w:kern w:val="2"/>
          <w:sz w:val="24"/>
          <w:szCs w:val="24"/>
          <w:lang w:val="en-US" w:eastAsia="zh-CN" w:bidi="ar-SA"/>
        </w:rPr>
        <w:t>路径三：需求侧智能调度——让算力与电网“对话”。 智算中心的算力任务并非在时间和空间上都不可调节。某些离线训练任务可以调度至电价和碳排放更低的时段和地区执行，这种“算力调度”与“电力调度”的协同正是全国一体化算力网的目标之一。“东数西算”工程正在构建的就不仅是算力的布局优化，更是能源与算力的联合优化——将耗电量大的离线训练任务部署到西部绿色能源富集地区，将时延敏感的推理任务保留在东部。这一路径的制度挑战在于：跨省电力交易与算力调度的协同机制尚不成熟，算力市场和电力市场仍然是两个独立运行的体系。</w:t>
      </w:r>
    </w:p>
    <w:p w14:paraId="178C44D7">
      <w:pPr>
        <w:rPr>
          <w:rFonts w:hint="eastAsia"/>
        </w:rPr>
      </w:pPr>
    </w:p>
    <w:p w14:paraId="23087003">
      <w:pPr>
        <w:rPr>
          <w:rFonts w:hint="eastAsia"/>
        </w:rPr>
      </w:pPr>
      <w:r>
        <w:rPr>
          <w:rFonts w:hint="default" w:ascii="宋体" w:hAnsi="宋体" w:eastAsia="宋体" w:cs="宋体"/>
          <w:kern w:val="2"/>
          <w:sz w:val="24"/>
          <w:szCs w:val="24"/>
          <w:lang w:val="en-US" w:eastAsia="zh-CN" w:bidi="ar-SA"/>
        </w:rPr>
        <w:t>三条路径并非互斥选择，而是需要同步推进的战略组合。它们的共同前提是：政策制定者必须意识到，AI竞争已不仅是一场技术竞赛，更是一场能源竞赛。那些能够率先以清洁、廉价、稳定的能源支撑大规模算力基础设施的国家，将在这场竞赛中获得结构性的长期优势。</w:t>
      </w:r>
    </w:p>
    <w:p w14:paraId="3C2C00A3">
      <w:pPr>
        <w:rPr>
          <w:rFonts w:hint="eastAsia"/>
        </w:rPr>
      </w:pPr>
    </w:p>
    <w:p w14:paraId="6DB64478">
      <w:pPr>
        <w:rPr>
          <w:rFonts w:hint="eastAsia"/>
        </w:rPr>
      </w:pPr>
    </w:p>
    <w:p w14:paraId="206D9EE9">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全球比较：三角困境中的中美战略分野</w:t>
      </w:r>
    </w:p>
    <w:p w14:paraId="77FB7B91">
      <w:pPr>
        <w:rPr>
          <w:rFonts w:hint="eastAsia"/>
        </w:rPr>
      </w:pPr>
    </w:p>
    <w:p w14:paraId="41E2A3D6">
      <w:pPr>
        <w:rPr>
          <w:rFonts w:hint="eastAsia"/>
        </w:rPr>
      </w:pPr>
      <w:r>
        <w:rPr>
          <w:rFonts w:hint="default" w:ascii="宋体" w:hAnsi="宋体" w:eastAsia="宋体" w:cs="宋体"/>
          <w:kern w:val="2"/>
          <w:sz w:val="24"/>
          <w:szCs w:val="24"/>
          <w:lang w:val="en-US" w:eastAsia="zh-CN" w:bidi="ar-SA"/>
        </w:rPr>
        <w:t>在“不可能三角”的压力下，中美两国选择了截然不同的应对路径。</w:t>
      </w:r>
    </w:p>
    <w:p w14:paraId="0D1ED3DE">
      <w:pPr>
        <w:rPr>
          <w:rFonts w:hint="eastAsia"/>
        </w:rPr>
      </w:pPr>
    </w:p>
    <w:p w14:paraId="07EE8867">
      <w:pPr>
        <w:rPr>
          <w:rFonts w:hint="eastAsia"/>
        </w:rPr>
      </w:pPr>
      <w:r>
        <w:rPr>
          <w:rFonts w:hint="default" w:ascii="宋体" w:hAnsi="宋体" w:eastAsia="宋体" w:cs="宋体"/>
          <w:kern w:val="2"/>
          <w:sz w:val="24"/>
          <w:szCs w:val="24"/>
          <w:lang w:val="en-US" w:eastAsia="zh-CN" w:bidi="ar-SA"/>
        </w:rPr>
        <w:t>美国将SMR作为突破AI能源瓶颈的核心抓手，通过政府审批加速、DOE拨款、科技巨头采购承诺三方联动，试图走通“AI企业直接投资核电”的商业化路径。这种路径的优势在于：市场需求驱动，企业承担投资风险和决策责任；资本效率高，谷歌、微软等巨头对电力成本极度敏感，将倒逼SMR供应商压缩成本。但劣势同样明显：SMR商业化周期的漫长与AI算力需求爆发的紧迫之间存在显著时间错配——首批示范项目预计2030年前后才能并网，而AI算力需求正在以每年翻番的速度增长。</w:t>
      </w:r>
    </w:p>
    <w:p w14:paraId="05B8B6D6">
      <w:pPr>
        <w:rPr>
          <w:rFonts w:hint="eastAsia"/>
        </w:rPr>
      </w:pPr>
    </w:p>
    <w:p w14:paraId="38FB36BF">
      <w:pPr>
        <w:rPr>
          <w:rFonts w:hint="eastAsia"/>
        </w:rPr>
      </w:pPr>
      <w:r>
        <w:rPr>
          <w:rFonts w:hint="default" w:ascii="宋体" w:hAnsi="宋体" w:eastAsia="宋体" w:cs="宋体"/>
          <w:kern w:val="2"/>
          <w:sz w:val="24"/>
          <w:szCs w:val="24"/>
          <w:lang w:val="en-US" w:eastAsia="zh-CN" w:bidi="ar-SA"/>
        </w:rPr>
        <w:t>中国则依托“东数西算”工程和全国一体化算力网，试图以国家统筹的方式，在空间维度上优化算力与能源的匹配。西部能源富集地区建设大规模智算中心，承接东部训练需求；东部保留低延迟推理中心。这种“以空间换能源”策略的优势在于可以充分利用西部风电、光伏等绿色能源的富余产能，但挑战在于东西部枢纽节点间的高带宽低时延网络传输能否支撑大规模算力调度的实时性需求，以及西部绿电的间歇性与数据中心不间断供电需求之间的矛盾如何化解。此外，中国在SMR领域事实上领先美国5至6年——“玲龙一号”全球首堆已进入调试阶段，设备国产化率超过93%。但在核能规模化支撑AI算力方面，中国目前尚未形成类似美国科技巨头直接采购SMR电力的商业模式。</w:t>
      </w:r>
    </w:p>
    <w:p w14:paraId="7431286E">
      <w:pPr>
        <w:rPr>
          <w:rFonts w:hint="eastAsia"/>
        </w:rPr>
      </w:pPr>
    </w:p>
    <w:p w14:paraId="06BE0531">
      <w:pPr>
        <w:rPr>
          <w:rFonts w:hint="eastAsia"/>
        </w:rPr>
      </w:pPr>
      <w:r>
        <w:rPr>
          <w:rFonts w:hint="default" w:ascii="宋体" w:hAnsi="宋体" w:eastAsia="宋体" w:cs="宋体"/>
          <w:kern w:val="2"/>
          <w:sz w:val="24"/>
          <w:szCs w:val="24"/>
          <w:lang w:val="en-US" w:eastAsia="zh-CN" w:bidi="ar-SA"/>
        </w:rPr>
        <w:t>无论哪条路径，最终的竞争焦点都将回归到同一个问题：谁能在能源约束的物理极限之内，为算力的持续扩张提供清洁、稳定、廉价的动力来源？在这个意义上，芯片的制程和模型的参数不再是决胜的关键。决胜的关键在于谁先解决能源问题。</w:t>
      </w:r>
    </w:p>
    <w:p w14:paraId="6860183F">
      <w:pPr>
        <w:rPr>
          <w:rFonts w:hint="eastAsia"/>
        </w:rPr>
      </w:pPr>
    </w:p>
    <w:p w14:paraId="633D6005">
      <w:pPr>
        <w:rPr>
          <w:rFonts w:hint="eastAsia"/>
        </w:rPr>
      </w:pPr>
    </w:p>
    <w:p w14:paraId="20E6F9B4">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 结论：AI的终极竞争是能源的竞争</w:t>
      </w:r>
    </w:p>
    <w:p w14:paraId="3D59090A">
      <w:pPr>
        <w:rPr>
          <w:rFonts w:hint="eastAsia"/>
        </w:rPr>
      </w:pPr>
    </w:p>
    <w:p w14:paraId="0424B6A0">
      <w:pPr>
        <w:rPr>
          <w:rFonts w:hint="eastAsia"/>
        </w:rPr>
      </w:pPr>
      <w:r>
        <w:rPr>
          <w:rFonts w:hint="default" w:ascii="宋体" w:hAnsi="宋体" w:eastAsia="宋体" w:cs="宋体"/>
          <w:kern w:val="2"/>
          <w:sz w:val="24"/>
          <w:szCs w:val="24"/>
          <w:lang w:val="en-US" w:eastAsia="zh-CN" w:bidi="ar-SA"/>
        </w:rPr>
        <w:t>在AI技术以惊人速度迭代的当下，一个认知盲区正在被集体性忽视：智能的无限扩张终将撞上物理世界的硬边界。这个硬边界不是算法，不是数据，不是人才，而是能源。</w:t>
      </w:r>
    </w:p>
    <w:p w14:paraId="38452C9E">
      <w:pPr>
        <w:rPr>
          <w:rFonts w:hint="eastAsia"/>
        </w:rPr>
      </w:pPr>
    </w:p>
    <w:p w14:paraId="389DA5DC">
      <w:pPr>
        <w:rPr>
          <w:rFonts w:hint="eastAsia"/>
        </w:rPr>
      </w:pPr>
      <w:r>
        <w:rPr>
          <w:rFonts w:hint="default" w:ascii="宋体" w:hAnsi="宋体" w:eastAsia="宋体" w:cs="宋体"/>
          <w:kern w:val="2"/>
          <w:sz w:val="24"/>
          <w:szCs w:val="24"/>
          <w:lang w:val="en-US" w:eastAsia="zh-CN" w:bidi="ar-SA"/>
        </w:rPr>
        <w:t>英伟达Cosmos 3的发布让世界看到了物理AI的无限可能——机器人可以自主决策、自动驾驶可以应对极端场景、智能系统可以理解物理世界的运行规律。中国各省算力规划让世界看到了东方大国对AI基础设施的超前布局。美国SMR的商业化竞速让世界看到了科技巨头在能源领域的前瞻性押注。但将这三条线索编织在一起，一幅更大的图景便浮现出来：人类正在同时推进智能的指数扩张和算力的规模化部署，却尚未准备好足够的清洁能源来为这一切供电。</w:t>
      </w:r>
    </w:p>
    <w:p w14:paraId="0A3FA9DF">
      <w:pPr>
        <w:rPr>
          <w:rFonts w:hint="eastAsia"/>
        </w:rPr>
      </w:pPr>
    </w:p>
    <w:p w14:paraId="27C32ACE">
      <w:pPr>
        <w:rPr>
          <w:rFonts w:hint="eastAsia"/>
        </w:rPr>
      </w:pPr>
      <w:r>
        <w:rPr>
          <w:rFonts w:hint="default" w:ascii="宋体" w:hAnsi="宋体" w:eastAsia="宋体" w:cs="宋体"/>
          <w:kern w:val="2"/>
          <w:sz w:val="24"/>
          <w:szCs w:val="24"/>
          <w:lang w:val="en-US" w:eastAsia="zh-CN" w:bidi="ar-SA"/>
        </w:rPr>
        <w:t>高盛曾预测，SMR需实现单模块量产超过50台后，单位成本才能降至与天然气发电相当。在量产之前的窗口期内，AI的发展将继续依赖现有的能源结构——而这与全球净零排放承诺形成了根本性冲突。这不是一个可以在纯技术层面解决的矛盾。它需要一种新的制度框架——能够将算力规划、能源布局与碳约束目标统筹在一个统一的决策体系中，而非各自为政。</w:t>
      </w:r>
    </w:p>
    <w:p w14:paraId="027C755D">
      <w:pPr>
        <w:rPr>
          <w:rFonts w:hint="eastAsia"/>
        </w:rPr>
      </w:pPr>
    </w:p>
    <w:p w14:paraId="053216D5">
      <w:pPr>
        <w:rPr>
          <w:rFonts w:hint="eastAsia"/>
        </w:rPr>
      </w:pPr>
      <w:r>
        <w:rPr>
          <w:rFonts w:hint="default" w:ascii="宋体" w:hAnsi="宋体" w:eastAsia="宋体" w:cs="宋体"/>
          <w:kern w:val="2"/>
          <w:sz w:val="24"/>
          <w:szCs w:val="24"/>
          <w:lang w:val="en-US" w:eastAsia="zh-CN" w:bidi="ar-SA"/>
        </w:rPr>
        <w:t>AI时代的能源悖论是一个全球性的公共治理难题。它的解决不需要更快的芯片，而需要更多的制度创新——让能源的供给跟上算力的扩张，让气候的承诺不被技术的发展所吞噬。在这场竞赛中，最终的赢家很可能不是拥有最强模型的那个国家，而是率先以清洁方式解决算力能源供给的那个国家。智能的边界不在代码之中，而在电力线的尽头。</w:t>
      </w:r>
    </w:p>
    <w:p w14:paraId="5675A4D4">
      <w:pPr>
        <w:rPr>
          <w:rFonts w:hint="eastAsia"/>
        </w:rPr>
      </w:pPr>
    </w:p>
    <w:p w14:paraId="32D64E2E">
      <w:pPr>
        <w:rPr>
          <w:rFonts w:hint="eastAsia"/>
        </w:rPr>
      </w:pPr>
    </w:p>
    <w:p w14:paraId="3534839F">
      <w:pPr>
        <w:pStyle w:val="3"/>
        <w:spacing w:after="260" w:afterLines="0"/>
        <w:jc w:val="center"/>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参考文献</w:t>
      </w:r>
    </w:p>
    <w:p w14:paraId="4678D6D3">
      <w:pPr>
        <w:rPr>
          <w:rFonts w:hint="eastAsia"/>
        </w:rPr>
      </w:pPr>
    </w:p>
    <w:p w14:paraId="2E255BE3">
      <w:pPr>
        <w:rPr>
          <w:rFonts w:hint="eastAsia"/>
        </w:rPr>
      </w:pPr>
      <w:r>
        <w:rPr>
          <w:rFonts w:hint="default" w:ascii="宋体" w:hAnsi="宋体" w:eastAsia="宋体" w:cs="宋体"/>
          <w:kern w:val="2"/>
          <w:sz w:val="24"/>
          <w:szCs w:val="24"/>
          <w:lang w:val="en-US" w:eastAsia="zh-CN" w:bidi="ar-SA"/>
        </w:rPr>
        <w:t>[1] 英伟达. NVIDIA Cosmos 3: 全球首款全模态物理AI基础模型发布公告[EB/OL]. 2026-06-05.</w:t>
      </w:r>
    </w:p>
    <w:p w14:paraId="76E97C4E">
      <w:pPr>
        <w:rPr>
          <w:rFonts w:hint="eastAsia"/>
        </w:rPr>
      </w:pPr>
    </w:p>
    <w:p w14:paraId="16033EA4">
      <w:pPr>
        <w:rPr>
          <w:rFonts w:hint="eastAsia"/>
        </w:rPr>
      </w:pPr>
      <w:r>
        <w:rPr>
          <w:rFonts w:hint="default" w:ascii="宋体" w:hAnsi="宋体" w:eastAsia="宋体" w:cs="宋体"/>
          <w:kern w:val="2"/>
          <w:sz w:val="24"/>
          <w:szCs w:val="24"/>
          <w:lang w:val="en-US" w:eastAsia="zh-CN" w:bidi="ar-SA"/>
        </w:rPr>
        <w:t>[2] 中国信通院. 先进计算暨算力发展指数蓝皮书（2025年）[R]. 2025.</w:t>
      </w:r>
    </w:p>
    <w:p w14:paraId="74EBDEA2">
      <w:pPr>
        <w:rPr>
          <w:rFonts w:hint="eastAsia"/>
        </w:rPr>
      </w:pPr>
    </w:p>
    <w:p w14:paraId="01DD435C">
      <w:pPr>
        <w:rPr>
          <w:rFonts w:hint="eastAsia"/>
        </w:rPr>
      </w:pPr>
      <w:r>
        <w:rPr>
          <w:rFonts w:hint="default" w:ascii="宋体" w:hAnsi="宋体" w:eastAsia="宋体" w:cs="宋体"/>
          <w:kern w:val="2"/>
          <w:sz w:val="24"/>
          <w:szCs w:val="24"/>
          <w:lang w:val="en-US" w:eastAsia="zh-CN" w:bidi="ar-SA"/>
        </w:rPr>
        <w:t>[3] 国家发改委等五部门. 深入实施“东数西算”工程 加快构建全国一体化算力网的实施意见[Z]. 2023-12.</w:t>
      </w:r>
    </w:p>
    <w:p w14:paraId="55C188E0">
      <w:pPr>
        <w:rPr>
          <w:rFonts w:hint="eastAsia"/>
        </w:rPr>
      </w:pPr>
    </w:p>
    <w:p w14:paraId="2153F204">
      <w:pPr>
        <w:rPr>
          <w:rFonts w:hint="eastAsia"/>
        </w:rPr>
      </w:pPr>
      <w:r>
        <w:rPr>
          <w:rFonts w:hint="default" w:ascii="宋体" w:hAnsi="宋体" w:eastAsia="宋体" w:cs="宋体"/>
          <w:kern w:val="2"/>
          <w:sz w:val="24"/>
          <w:szCs w:val="24"/>
          <w:lang w:val="en-US" w:eastAsia="zh-CN" w:bidi="ar-SA"/>
        </w:rPr>
        <w:t>[4] 国务院. 2026年政府工作报告[R]. 2026-03.</w:t>
      </w:r>
    </w:p>
    <w:p w14:paraId="464E538A">
      <w:pPr>
        <w:rPr>
          <w:rFonts w:hint="eastAsia"/>
        </w:rPr>
      </w:pPr>
    </w:p>
    <w:p w14:paraId="259435F8">
      <w:pPr>
        <w:rPr>
          <w:rFonts w:hint="eastAsia"/>
        </w:rPr>
      </w:pPr>
      <w:r>
        <w:rPr>
          <w:rFonts w:hint="default" w:ascii="宋体" w:hAnsi="宋体" w:eastAsia="宋体" w:cs="宋体"/>
          <w:kern w:val="2"/>
          <w:sz w:val="24"/>
          <w:szCs w:val="24"/>
          <w:lang w:val="en-US" w:eastAsia="zh-CN" w:bidi="ar-SA"/>
        </w:rPr>
        <w:t>[5] 全国人大. “十五五”规划纲要[Z]. 2026.</w:t>
      </w:r>
    </w:p>
    <w:p w14:paraId="0806FE94">
      <w:pPr>
        <w:rPr>
          <w:rFonts w:hint="eastAsia"/>
        </w:rPr>
      </w:pPr>
    </w:p>
    <w:p w14:paraId="77783525">
      <w:pPr>
        <w:rPr>
          <w:rFonts w:hint="eastAsia"/>
        </w:rPr>
      </w:pPr>
      <w:r>
        <w:rPr>
          <w:rFonts w:hint="default" w:ascii="宋体" w:hAnsi="宋体" w:eastAsia="宋体" w:cs="宋体"/>
          <w:kern w:val="2"/>
          <w:sz w:val="24"/>
          <w:szCs w:val="24"/>
          <w:lang w:val="en-US" w:eastAsia="zh-CN" w:bidi="ar-SA"/>
        </w:rPr>
        <w:t>[6] 美国能源部. SMR示范项目审批与拨款公告[EB/OL]. 2025-12至2026-06.</w:t>
      </w:r>
    </w:p>
    <w:p w14:paraId="7AAD38CA">
      <w:pPr>
        <w:rPr>
          <w:rFonts w:hint="eastAsia"/>
        </w:rPr>
      </w:pPr>
    </w:p>
    <w:p w14:paraId="371DBBDF">
      <w:pPr>
        <w:rPr>
          <w:rFonts w:hint="eastAsia"/>
        </w:rPr>
      </w:pPr>
      <w:r>
        <w:rPr>
          <w:rFonts w:hint="default" w:ascii="宋体" w:hAnsi="宋体" w:eastAsia="宋体" w:cs="宋体"/>
          <w:kern w:val="2"/>
          <w:sz w:val="24"/>
          <w:szCs w:val="24"/>
          <w:lang w:val="en-US" w:eastAsia="zh-CN" w:bidi="ar-SA"/>
        </w:rPr>
        <w:t>[7] 谷歌、亚马逊、微软. SMR采购协议与数据中心供电计划[EB/OL]. 2025-2026.</w:t>
      </w:r>
    </w:p>
    <w:p w14:paraId="7CED4CD5">
      <w:pPr>
        <w:rPr>
          <w:rFonts w:hint="eastAsia"/>
        </w:rPr>
      </w:pPr>
    </w:p>
    <w:p w14:paraId="01014760">
      <w:pPr>
        <w:rPr>
          <w:rFonts w:hint="eastAsia"/>
        </w:rPr>
      </w:pPr>
      <w:r>
        <w:rPr>
          <w:rFonts w:hint="default" w:ascii="宋体" w:hAnsi="宋体" w:eastAsia="宋体" w:cs="宋体"/>
          <w:kern w:val="2"/>
          <w:sz w:val="24"/>
          <w:szCs w:val="24"/>
          <w:lang w:val="en-US" w:eastAsia="zh-CN" w:bidi="ar-SA"/>
        </w:rPr>
        <w:t>[8] 高盛. SMR成本曲线与商业化前景分析[R]. 2026.</w:t>
      </w:r>
    </w:p>
    <w:p w14:paraId="4A562B65">
      <w:pPr>
        <w:rPr>
          <w:rFonts w:hint="eastAsia"/>
        </w:rPr>
      </w:pPr>
    </w:p>
    <w:p w14:paraId="5FFA4CE9">
      <w:pPr>
        <w:rPr>
          <w:rFonts w:hint="eastAsia"/>
        </w:rPr>
      </w:pPr>
      <w:r>
        <w:rPr>
          <w:rFonts w:hint="default" w:ascii="宋体" w:hAnsi="宋体" w:eastAsia="宋体" w:cs="宋体"/>
          <w:kern w:val="2"/>
          <w:sz w:val="24"/>
          <w:szCs w:val="24"/>
          <w:lang w:val="en-US" w:eastAsia="zh-CN" w:bidi="ar-SA"/>
        </w:rPr>
        <w:t>[9] 中国核工业集团. “玲龙一号”全球首堆调试进展报告[R]. 2026.</w:t>
      </w:r>
    </w:p>
    <w:p w14:paraId="5B9D191A">
      <w:pPr>
        <w:rPr>
          <w:rFonts w:hint="eastAsia"/>
        </w:rPr>
      </w:pPr>
    </w:p>
    <w:p w14:paraId="4F17FFCF">
      <w:r>
        <w:rPr>
          <w:rFonts w:hint="default" w:ascii="宋体" w:hAnsi="宋体" w:eastAsia="宋体" w:cs="宋体"/>
          <w:kern w:val="2"/>
          <w:sz w:val="24"/>
          <w:szCs w:val="24"/>
          <w:lang w:val="en-US" w:eastAsia="zh-CN" w:bidi="ar-SA"/>
        </w:rPr>
        <w:t>[10] 浙商证券. Cosmos 3与AI算力能源需求分析[R]. 2026-06.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C45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2026-06-06T03:10:38Z</dcterms:created>
  <dc:creator>永远健康</dc:creator>
  <cp:lastModifiedBy>WPS_1719835985</cp:lastModifiedBy>
  <dcterms:modified xsi:type="dcterms:W3CDTF">2026-06-06T03:14:37Z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B08B0146EF2A40778A3D767227432B89_12</vt:lpwstr>
  </property>
</Properties>
</file>