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8A59A">
      <w:pPr>
        <w:jc w:val="center"/>
        <w:rPr>
          <w:rFonts w:hint="eastAsia"/>
          <w:sz w:val="56"/>
          <w:szCs w:val="56"/>
        </w:rPr>
      </w:pPr>
      <w:r>
        <w:rPr>
          <w:rFonts w:hint="eastAsia"/>
          <w:sz w:val="56"/>
          <w:szCs w:val="56"/>
        </w:rPr>
        <w:t>从“软法先行”到“硬法统领”：中国AI治理的制度跃迁与内在张力</w:t>
      </w:r>
    </w:p>
    <w:p w14:paraId="0853DE2C">
      <w:pPr>
        <w:rPr>
          <w:rFonts w:hint="eastAsia"/>
        </w:rPr>
      </w:pPr>
    </w:p>
    <w:p w14:paraId="2B36061D">
      <w:pPr>
        <w:rPr>
          <w:rFonts w:hint="eastAsia" w:eastAsiaTheme="minorEastAsia"/>
          <w:lang w:eastAsia="zh-CN"/>
        </w:rPr>
      </w:pPr>
      <w:r>
        <w:rPr>
          <w:rFonts w:hint="eastAsia"/>
        </w:rPr>
        <w:t>AIGC使用声明</w:t>
      </w:r>
    </w:p>
    <w:p w14:paraId="43B45C36">
      <w:pPr>
        <w:rPr>
          <w:rFonts w:hint="eastAsia"/>
        </w:rPr>
      </w:pPr>
      <w:r>
        <w:rPr>
          <w:rFonts w:hint="eastAsi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148C65DF">
      <w:pPr>
        <w:rPr>
          <w:rFonts w:hint="eastAsia"/>
        </w:rPr>
      </w:pPr>
    </w:p>
    <w:p w14:paraId="28031754">
      <w:pPr>
        <w:rPr>
          <w:rFonts w:hint="eastAsia"/>
        </w:rPr>
      </w:pPr>
    </w:p>
    <w:p w14:paraId="7854CB06">
      <w:pPr>
        <w:rPr>
          <w:rFonts w:hint="eastAsia"/>
        </w:rPr>
      </w:pPr>
      <w:r>
        <w:rPr>
          <w:rFonts w:hint="eastAsia"/>
        </w:rPr>
        <w:t xml:space="preserve"> 摘要</w:t>
      </w:r>
    </w:p>
    <w:p w14:paraId="07F0818C">
      <w:pPr>
        <w:rPr>
          <w:rFonts w:hint="eastAsia"/>
        </w:rPr>
      </w:pPr>
    </w:p>
    <w:p w14:paraId="6FBAF903">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30日，国务院常务会议审议通过《人工智能安全法（草案）》，决定提请全国人大常委会审议。这是中国首部进入国家立法程序的AI综合性法律草案，标志着中国AI治理从行政规章主导的“软法先行”阶段，迈向法律层级最高的“硬法统领”阶段。草案确立了“发展与安全并重、创新与治理并行”的立法原则，构建了“基础模型—行业模型—应用服务”三级监管体系，建立了安全评估前置、数据溯源与生成标识、违规最高处全球营收5%罚款等核心制度。本文认为，这部法律的核心功能不是创设全新的治理工具，而是将过去三年分散在多个低位阶文件中的制度经验进行体系化整合与法律层级升级。然而，制度升级同时带来了新的内在张力——立法加速度下的制度沉淀不足、分级监管的协同成本、安全评估前置与创新门槛的边界模糊、以及罚则威慑与产业发展的平衡难题，构成这部法律在从文本走向实践过程中必须审慎面对的课题。本文在定位这部法律在中国AI治理体系中“顶端”地位的基础上，将其置于全球AI治理竞赛的参照系中，探讨中国方案的制度贡献与未竟之处。</w:t>
      </w:r>
    </w:p>
    <w:p w14:paraId="4CDD11FD">
      <w:pPr>
        <w:rPr>
          <w:rFonts w:hint="eastAsia"/>
        </w:rPr>
      </w:pPr>
    </w:p>
    <w:p w14:paraId="4C053E04">
      <w:pPr>
        <w:rPr>
          <w:rFonts w:hint="eastAsia"/>
        </w:rPr>
      </w:pPr>
      <w:r>
        <w:rPr>
          <w:rFonts w:hint="eastAsia"/>
        </w:rPr>
        <w:t>关键词：人工智能安全法；分级分类监管；安全评估前置；制度升级；软法与硬法；全球AI治理</w:t>
      </w:r>
    </w:p>
    <w:p w14:paraId="6816D3C6">
      <w:pPr>
        <w:rPr>
          <w:rFonts w:hint="eastAsia"/>
        </w:rPr>
      </w:pPr>
    </w:p>
    <w:p w14:paraId="55947616">
      <w:pPr>
        <w:rPr>
          <w:rFonts w:hint="eastAsia"/>
          <w:sz w:val="36"/>
          <w:szCs w:val="36"/>
        </w:rPr>
      </w:pPr>
    </w:p>
    <w:p w14:paraId="2B28F8C7">
      <w:pPr>
        <w:rPr>
          <w:rFonts w:asciiTheme="minorHAnsi" w:hAnsiTheme="minorHAnsi" w:eastAsiaTheme="minorEastAsia" w:cstheme="minorBidi"/>
          <w:kern w:val="2"/>
          <w:sz w:val="36"/>
          <w:szCs w:val="36"/>
          <w:lang w:val="en-US" w:eastAsia="zh-CN" w:bidi="ar-SA"/>
        </w:rPr>
      </w:pPr>
      <w:r>
        <w:rPr>
          <w:rFonts w:hint="eastAsia" w:asciiTheme="minorHAnsi" w:hAnsiTheme="minorHAnsi" w:eastAsiaTheme="minorEastAsia" w:cstheme="minorBidi"/>
          <w:kern w:val="2"/>
          <w:sz w:val="36"/>
          <w:szCs w:val="36"/>
          <w:lang w:val="en-US" w:eastAsia="zh-CN" w:bidi="ar-SA"/>
        </w:rPr>
        <w:t xml:space="preserve"> 1 引言：一部法律的“加速度”</w:t>
      </w:r>
    </w:p>
    <w:p w14:paraId="72DD7C3B">
      <w:pPr>
        <w:rPr>
          <w:rFonts w:hint="eastAsia"/>
        </w:rPr>
      </w:pPr>
    </w:p>
    <w:p w14:paraId="7AC33FF2">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2026年5月30日，国务院常务会议审议通过《人工智能安全法（草案）》，决定将草案提请全国人大常委会审议。新华社当日播发的通稿确认了这一消息。</w:t>
      </w:r>
    </w:p>
    <w:p w14:paraId="18651ABD">
      <w:pPr>
        <w:rPr>
          <w:rFonts w:hint="eastAsia"/>
        </w:rPr>
      </w:pPr>
    </w:p>
    <w:p w14:paraId="732ABD0B">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立法进程看，这是一部以“加速度”推进的法律。国务院2026年度立法工作计划于5月8日印发，将“加快推进人工智能健康发展综合性立法”列入重点任务。从5月8日到5月30日，仅22天，草案便完成了从立法计划确认到国务院审议通过的全过程。如果再向前追溯，从2024年底立法研究正式启动，到2026年5月草案审议通过，整个过程不到一年半。相比之下，欧盟《人工智能法案》从2021年提出草案到2024年最终通过，历时三年有余。</w:t>
      </w:r>
    </w:p>
    <w:p w14:paraId="67BCDBB8">
      <w:pPr>
        <w:rPr>
          <w:rFonts w:hint="eastAsia"/>
        </w:rPr>
      </w:pPr>
    </w:p>
    <w:p w14:paraId="74999B8C">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一速度对比不应被简单解读为“中国立法更高效”或者“欧盟立法更审慎”。它折射出两种立法路径的根本差异。中国选择了一条“先试点、后立法”的渐进路径——在过去三年间，通过《生成式人工智能服务管理暂行办法》（2023）、《人工智能科技伦理审查与服务办法（试行）》（2026）、《智能体规范应用与创新发展实施意见》（2026）等一系列低位阶文件反复试水、积累经验，待制度经验基本成熟后再以一部上位法完成体系化整合。欧盟则选择了一条“先立法、后实施”的集中建构路径——以一部综合性法案一次性搭建监管框架，为后续的实施细则和行业标准预留接口。两条路径各有其制度理性，但中国的路径决定了《人工智能安全法》的特殊品格：它不是一张白纸上的原创设计，而是对既有制度经验的提炼、整合与升级。</w:t>
      </w:r>
    </w:p>
    <w:p w14:paraId="4104ECF3">
      <w:pPr>
        <w:rPr>
          <w:rFonts w:hint="eastAsia"/>
        </w:rPr>
      </w:pPr>
    </w:p>
    <w:p w14:paraId="72805897">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的核心任务，正是剖析这部法律在中国AI治理体系中的“顶端”地位——它从哪些既有制度中吸收了养分，又在哪些方面进行了制度创新？它在完成制度升级的同时，内部隐含着怎样的张力？在全球AI治理竞赛中，这部法律为中国方案贡献了什么，又遗留了什么？</w:t>
      </w:r>
    </w:p>
    <w:p w14:paraId="105E69B2">
      <w:pPr>
        <w:rPr>
          <w:rFonts w:hint="eastAsia"/>
        </w:rPr>
      </w:pPr>
    </w:p>
    <w:p w14:paraId="604077E0">
      <w:pPr>
        <w:rPr>
          <w:rFonts w:hint="eastAsia"/>
        </w:rPr>
      </w:pPr>
    </w:p>
    <w:p w14:paraId="6DEC86B4">
      <w:pPr>
        <w:rPr>
          <w:rFonts w:hint="eastAsia"/>
          <w:sz w:val="36"/>
          <w:szCs w:val="36"/>
          <w:lang w:val="en-US" w:eastAsia="zh-CN"/>
        </w:rPr>
      </w:pPr>
      <w:r>
        <w:rPr>
          <w:rFonts w:hint="eastAsia"/>
          <w:sz w:val="36"/>
          <w:szCs w:val="36"/>
          <w:lang w:val="en-US" w:eastAsia="zh-CN"/>
        </w:rPr>
        <w:t xml:space="preserve"> 2 制度进化：从“多点开花”到“一部统摄”</w:t>
      </w:r>
    </w:p>
    <w:p w14:paraId="5DDE5419">
      <w:pPr>
        <w:rPr>
          <w:rFonts w:hint="eastAsia"/>
        </w:rPr>
      </w:pPr>
    </w:p>
    <w:p w14:paraId="2CE60471">
      <w:pPr>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2.1 此前的治理版图：分散但灵活的“软法网络”</w:t>
      </w:r>
    </w:p>
    <w:p w14:paraId="7C8B2CE2">
      <w:pPr>
        <w:rPr>
          <w:rFonts w:hint="eastAsia"/>
        </w:rPr>
      </w:pPr>
    </w:p>
    <w:p w14:paraId="3FF17089">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人工智能安全法（草案）》出台之前，中国AI治理已经织就了一张覆盖面相当广泛的制度网络。这张网络的核心特征是：法律层级低但迭代速度快，规制对象分散但覆盖全面，各文件之间各有侧重但尚未形成统一的体系化框架。</w:t>
      </w:r>
    </w:p>
    <w:p w14:paraId="66FB033C">
      <w:pPr>
        <w:rPr>
          <w:rFonts w:hint="eastAsia"/>
        </w:rPr>
      </w:pPr>
    </w:p>
    <w:p w14:paraId="3CBB6AE2">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生成式人工智能服务管理暂行办法》（2023）是这张网络的起点，确立了生成式AI服务提供者的基本合规框架——内容安全、算法备案、标识义务。《互联网信息服务深度合成管理规定》（2023）针对深度合成内容单独设定了更加细化的标识规则。《人工智能科技伦理审查与服务办法（试行）》（2026）从伦理审查的程序端入手，建立了伦理委员会制度。《人工智能应用伦理安全指引1.0》（2026）则从实体标准端提供了审查的技术依据。《智能体规范应用与创新发展实施意见》（2026）首次将智能体从大模型治理框架中独立出来，建立了分类分级和决策权限划分。此外，新修改的《网络安全法》（2026）增设AI专条，《人工智能拟人化互动服务管理暂行办法》（2026）针对特定服务形态设定规则。</w:t>
      </w:r>
    </w:p>
    <w:p w14:paraId="6BDD335F">
      <w:pPr>
        <w:rPr>
          <w:rFonts w:hint="eastAsia"/>
        </w:rPr>
      </w:pPr>
    </w:p>
    <w:p w14:paraId="157B719B">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张“软法网络”的优势在于灵活性和快速响应能力。每一个新问题出现，都可以通过一部低位阶的部门规章或规范性文件迅速给出制度回应，不需要经历漫长的立法周期。但其劣势同样明显：文件的分散化导致制度衔接存在缝隙，法律层级低导致威慑力不足，缺乏上位法统摄使制度碎片化的风险持续积累。</w:t>
      </w:r>
    </w:p>
    <w:p w14:paraId="64BB7084">
      <w:pPr>
        <w:rPr>
          <w:rFonts w:hint="eastAsia"/>
        </w:rPr>
      </w:pPr>
    </w:p>
    <w:p w14:paraId="726D8ECD">
      <w:pPr>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2.2 草案的整合逻辑：提炼、升级与填补</w:t>
      </w:r>
    </w:p>
    <w:p w14:paraId="4C7C608B">
      <w:pPr>
        <w:rPr>
          <w:rFonts w:hint="eastAsia"/>
        </w:rPr>
      </w:pPr>
    </w:p>
    <w:p w14:paraId="596A9DB4">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《人工智能安全法（草案）》的核心功能，是将上述分散的制度经验进行三个层面的整合。</w:t>
      </w:r>
    </w:p>
    <w:p w14:paraId="4E969361">
      <w:pPr>
        <w:rPr>
          <w:rFonts w:hint="eastAsia"/>
        </w:rPr>
      </w:pPr>
    </w:p>
    <w:p w14:paraId="3E2719CF">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一个层面是提炼。分级分类监管在《智能体实施意见》中已经以较为具体的形态存在——区分敏感领域和低风险领域适用不同的审查强度。草案将此提炼为“基础模型—行业模型—应用服务”三级监管体系，将其从专项制度上升为一部法律的基本原则，使其约束力覆盖所有AI系统而非仅限于智能体这一特定形态。</w:t>
      </w:r>
    </w:p>
    <w:p w14:paraId="6704B3A0">
      <w:pPr>
        <w:rPr>
          <w:rFonts w:hint="eastAsia"/>
        </w:rPr>
      </w:pPr>
    </w:p>
    <w:p w14:paraId="176CAB3D">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二个层面是升级。生成内容的标识要求在此前的《深度合成管理规定》中已经存在，但其强制性不足、执行标准模糊，在直播等实时合成场景中屡被架空。草案将标识制度从“告知性标注”升级为“技术性嵌入”——生成内容的文件头必须嵌入不可篡改的元数据标识。这不是一个新设的制度，而是对一个已有制度的技术强化和效力升级。</w:t>
      </w:r>
    </w:p>
    <w:p w14:paraId="618F2EE6">
      <w:pPr>
        <w:rPr>
          <w:rFonts w:hint="eastAsia"/>
        </w:rPr>
      </w:pPr>
    </w:p>
    <w:p w14:paraId="5E055E60">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三个层面是填补。安全评估在《生成式AI暂行办法》中已有要求，但缺乏明确的法律后果来保障执行。草案将安全评估从“部门要求”提升为“法律强制”，并配以违规提供服务的具体罚则——最高可处上一财年全球营收5%的罚款。这不只是惩罚力度的加码，而是一个制度环节的补全：此前安全评估是半自愿的合规行为，此后安全评估是决定产品能否进入市场的法律闸门。</w:t>
      </w:r>
    </w:p>
    <w:p w14:paraId="46A04AE3">
      <w:pPr>
        <w:rPr>
          <w:rFonts w:hint="eastAsia"/>
        </w:rPr>
      </w:pPr>
    </w:p>
    <w:p w14:paraId="4CC4EF5A">
      <w:pPr>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2.3 制度升级的未竟之处</w:t>
      </w:r>
    </w:p>
    <w:p w14:paraId="20FEF203">
      <w:pPr>
        <w:rPr>
          <w:rFonts w:hint="eastAsia"/>
        </w:rPr>
      </w:pPr>
    </w:p>
    <w:p w14:paraId="5F69F10E">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制度整合的逻辑清晰而有力，但从既有经验到法律文本的转换过程中，某些在低位阶文件中已经存在的制度探索是否能在法律文本中得到充分保留，仍需草案全文公布后才能判断。</w:t>
      </w:r>
    </w:p>
    <w:p w14:paraId="39530C10">
      <w:pPr>
        <w:rPr>
          <w:rFonts w:hint="eastAsia"/>
        </w:rPr>
      </w:pPr>
    </w:p>
    <w:p w14:paraId="157D9455">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智能体实施意见》中首创的决策权限“三分法”——仅限用户本人决策、需由用户授权决策、智能体自主决策——是目前中国AI治理中最具原创性的制度工具之一。它直接回应了智能体从“生成内容”走向“执行行动”后责任归属的核心困境。但这一制度工具是基于智能体的特定技术特征设计的，能否在《人工智能安全法》中被保留或进一步抽象为适用于所有AI系统的通用规则，取决于立法者的制度提炼能力。</w:t>
      </w:r>
    </w:p>
    <w:p w14:paraId="5CAAA6B9">
      <w:pPr>
        <w:rPr>
          <w:rFonts w:hint="eastAsia"/>
        </w:rPr>
      </w:pPr>
    </w:p>
    <w:p w14:paraId="4773CCB6">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更宏观地看，这部法律在追求体系化的过程中所面临的核心挑战是：如何在提取制度共性的同时，不牺牲特定场景下制度的针对性和精细度？一部统摄性的上位法天然偏向原则性条款，而低位阶文件特有的场景化细节则可能在抽象化的过程中被过滤掉。如果这部法律最终以较多的原则性条款和授权性条款构成，那么后续配套细则的制定速度和制度质量，将直接决定这部法律能否真正从“纸面上的框架”转化为“行动中的规则”。</w:t>
      </w:r>
    </w:p>
    <w:p w14:paraId="57389263">
      <w:pPr>
        <w:rPr>
          <w:rFonts w:hint="eastAsia"/>
        </w:rPr>
      </w:pPr>
    </w:p>
    <w:p w14:paraId="7C7E8E75">
      <w:pPr>
        <w:rPr>
          <w:rFonts w:hint="eastAsia"/>
        </w:rPr>
      </w:pPr>
    </w:p>
    <w:p w14:paraId="554CF9E3">
      <w:pPr>
        <w:rPr>
          <w:rFonts w:hint="eastAsia"/>
          <w:sz w:val="36"/>
          <w:szCs w:val="36"/>
          <w:lang w:val="en-US" w:eastAsia="zh-CN"/>
        </w:rPr>
      </w:pPr>
      <w:r>
        <w:rPr>
          <w:rFonts w:hint="eastAsia" w:asciiTheme="minorHAnsi" w:hAnsiTheme="minorHAnsi" w:eastAsiaTheme="minorEastAsia" w:cstheme="minorBidi"/>
          <w:kern w:val="2"/>
          <w:sz w:val="21"/>
          <w:szCs w:val="24"/>
          <w:lang w:val="en-US" w:eastAsia="zh-CN" w:bidi="ar-SA"/>
        </w:rPr>
        <w:t xml:space="preserve"> </w:t>
      </w:r>
      <w:r>
        <w:rPr>
          <w:rFonts w:hint="eastAsia"/>
          <w:sz w:val="36"/>
          <w:szCs w:val="36"/>
          <w:lang w:val="en-US" w:eastAsia="zh-CN"/>
        </w:rPr>
        <w:t>3 制度突破：安全评估前置与罚则威慑</w:t>
      </w:r>
    </w:p>
    <w:p w14:paraId="3F3EC6C4">
      <w:pPr>
        <w:rPr>
          <w:rFonts w:hint="eastAsia"/>
        </w:rPr>
      </w:pPr>
    </w:p>
    <w:p w14:paraId="4723D150">
      <w:pPr>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3.1 安全评估前置：AI治理重心从“事后追责”到“事前把关”</w:t>
      </w:r>
    </w:p>
    <w:p w14:paraId="2466A5FE">
      <w:pPr>
        <w:rPr>
          <w:rFonts w:hint="eastAsia"/>
        </w:rPr>
      </w:pPr>
    </w:p>
    <w:p w14:paraId="6B4CE86F">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草案最核心的制度突破之一，是确立了安全评估前置原则——面向公众提供服务的生成式AI，须经安全评估后方可上线。</w:t>
      </w:r>
    </w:p>
    <w:p w14:paraId="726D32F3">
      <w:pPr>
        <w:rPr>
          <w:rFonts w:hint="eastAsia"/>
        </w:rPr>
      </w:pPr>
    </w:p>
    <w:p w14:paraId="775FC17F">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传统的产品安全监管逻辑中，监管介入通常发生在产品上市之后——市场反馈发现问题、监管部门启动调查、认定缺陷后要求召回。这套事后追责的监管模式在工业时代运行了近一个世纪，其有效性依赖于一个前提：产品缺陷造成的损害在发生后可以被追溯、弥补和赔偿。但AI系统的安全风险不完全适用于这一前提。一个深度伪造工具一旦向公众开放，其在被滥用后的损害扩散是不可逆的——虚假信息被复制、传播、存档，即使在工具被关闭后仍然在信息生态中持续产生负面效应。</w:t>
      </w:r>
    </w:p>
    <w:p w14:paraId="5C940B01">
      <w:pPr>
        <w:rPr>
          <w:rFonts w:hint="eastAsia"/>
        </w:rPr>
      </w:pPr>
    </w:p>
    <w:p w14:paraId="798D77BE">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安全评估前置正是对这一不可逆性的制度回应。它将监管的闸门从“事后的惩罚机制”前移到“事前的预防机制”，试图在AI系统从实验室走向市场的“最后一公里”设置安全审查的制度通道。这一转变标志着中国AI监管完成了从“行为规制”到“入口规制”的范式升级。</w:t>
      </w:r>
    </w:p>
    <w:p w14:paraId="79E6B890">
      <w:pPr>
        <w:rPr>
          <w:rFonts w:hint="eastAsia"/>
        </w:rPr>
      </w:pPr>
    </w:p>
    <w:p w14:paraId="1599FB57">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但安全评估前置同时制造了一个新的制度边界问题。安全评估的标准如果过于宽泛或审批周期过长，可能在实际操作中异化为隐性的市场准入门槛。评估标准如何做到公开透明、可预期、可救济，评估周期如何在“充分审查”与“避免延误创新窗口”之间取得平衡，是后续配套细则中最需要审慎设计的制度参数。</w:t>
      </w:r>
    </w:p>
    <w:p w14:paraId="45BE9184">
      <w:pPr>
        <w:rPr>
          <w:rFonts w:hint="eastAsia"/>
        </w:rPr>
      </w:pPr>
    </w:p>
    <w:p w14:paraId="493DA5D3">
      <w:pPr>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3.2 5%全球营收罚款：威慑逻辑与域外效力</w:t>
      </w:r>
    </w:p>
    <w:p w14:paraId="221537FC">
      <w:pPr>
        <w:rPr>
          <w:rFonts w:hint="eastAsia"/>
        </w:rPr>
      </w:pPr>
    </w:p>
    <w:p w14:paraId="5DCDBE6C">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草案的另一项标志性制度是罚则条款：违规提供生成式AI服务，最高可处上一财年全球营收5%的罚款。</w:t>
      </w:r>
    </w:p>
    <w:p w14:paraId="0B4C2D0A">
      <w:pPr>
        <w:rPr>
          <w:rFonts w:hint="eastAsia"/>
        </w:rPr>
      </w:pPr>
    </w:p>
    <w:p w14:paraId="1A5D7E7E">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一罚款计算基准的制度含义是双重的。在国内层面，它将罚款与企业的全球营收——而非中国境内营收——挂钩。这意味着跨国AI企业在中国的违规成本不再由其在华业务规模所限制，而由其全球体量所决定。对于年营收千亿级别的科技巨头，5%意味着数十亿元级别的罚款规模，足以穿透法务部门在合规成本与违规收益之间所做的冷血计算。在域外效力层面，以全球营收为计算基数同时传递了一个清晰的制度信号——只要面向中国用户提供AI服务，无论企业注册地在何处，其全球营收都将被纳入罚款计算范围，这是中国AI监管法律域外适用的首次立法尝试。</w:t>
      </w:r>
    </w:p>
    <w:p w14:paraId="15824048">
      <w:pPr>
        <w:rPr>
          <w:rFonts w:hint="eastAsia"/>
        </w:rPr>
      </w:pPr>
    </w:p>
    <w:p w14:paraId="2036FED2">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比较法视角看，5%的上限与欧盟《人工智能法案》设定的3500万欧元或全球年营业额7%（以较高者为准）相比略低，但已处于全球AI监管罚则的最高梯队。两个法域不约而同地选择以全球营收而非本地营收作为罚款基数，反映出监管者正在形成一项共识：在AI巨头跨国运营的时代，以本地营收为限的罚款已经无法形成有效威慑。</w:t>
      </w:r>
    </w:p>
    <w:p w14:paraId="66952746">
      <w:pPr>
        <w:rPr>
          <w:rFonts w:hint="eastAsia"/>
        </w:rPr>
      </w:pPr>
    </w:p>
    <w:p w14:paraId="6F350475">
      <w:pPr>
        <w:rPr>
          <w:rFonts w:hint="eastAsia"/>
          <w:sz w:val="36"/>
          <w:szCs w:val="36"/>
          <w:lang w:val="en-US" w:eastAsia="zh-CN"/>
        </w:rPr>
      </w:pPr>
      <w:r>
        <w:rPr>
          <w:rFonts w:hint="eastAsia"/>
          <w:sz w:val="36"/>
          <w:szCs w:val="36"/>
          <w:lang w:val="en-US" w:eastAsia="zh-CN"/>
        </w:rPr>
        <w:t xml:space="preserve"> 4 全球坐标：两条立法路径的制度竞争</w:t>
      </w:r>
    </w:p>
    <w:p w14:paraId="2704C634">
      <w:pPr>
        <w:rPr>
          <w:rFonts w:hint="eastAsia"/>
        </w:rPr>
      </w:pPr>
    </w:p>
    <w:p w14:paraId="04B77C15">
      <w:pPr>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4.1 比较法观察：两种立法范式的对照</w:t>
      </w:r>
    </w:p>
    <w:p w14:paraId="3D2EF803">
      <w:pPr>
        <w:rPr>
          <w:rFonts w:hint="eastAsia"/>
        </w:rPr>
      </w:pPr>
    </w:p>
    <w:p w14:paraId="3FFB879B">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将《人工智能安全法（草案）》置于全球AI治理的横向参照系中，可以更清晰地辨识其制度方位。</w:t>
      </w:r>
    </w:p>
    <w:p w14:paraId="1C73FBC0">
      <w:pPr>
        <w:rPr>
          <w:rFonts w:hint="eastAsia"/>
        </w:rPr>
      </w:pPr>
    </w:p>
    <w:p w14:paraId="0A4612EE">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欧盟《人工智能法案》（2024）是迄今全球最系统的AI监管立法。它以“风险分级”为核心——将AI系统划分为不可接受风险、高风险、有限风险和最低风险四级，对高风险系统施加最严格的合规义务，包括合格评定、技术文件编制、人类监督等。中国的《人工智能安全法（草案）》同样以分级分类为制度基础，但其分级依据并非欧盟式的“风险等级”，而是“技术层级”——基础模型、行业模型、应用服务。两种分级逻辑各有侧重：欧盟的逻辑更偏向风险预防，监管资源集中于那些可能对基本权利构成严重威胁的应用场景；中国的逻辑更偏向技术治理，监管资源沿着产业链的上中下游分层配置。</w:t>
      </w:r>
    </w:p>
    <w:p w14:paraId="405AD73D">
      <w:pPr>
        <w:rPr>
          <w:rFonts w:hint="eastAsia"/>
        </w:rPr>
      </w:pPr>
    </w:p>
    <w:p w14:paraId="21D0E9EB">
      <w:pPr>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4.2 路径差异的制度根源</w:t>
      </w:r>
    </w:p>
    <w:p w14:paraId="57449D93">
      <w:pPr>
        <w:rPr>
          <w:rFonts w:hint="eastAsia"/>
        </w:rPr>
      </w:pPr>
    </w:p>
    <w:p w14:paraId="24AD39E6">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两种路径的差异根植于两种不同的治理传统和制度生态。</w:t>
      </w:r>
    </w:p>
    <w:p w14:paraId="005E6BC6">
      <w:pPr>
        <w:rPr>
          <w:rFonts w:hint="eastAsia"/>
        </w:rPr>
      </w:pPr>
    </w:p>
    <w:p w14:paraId="229FBE9A">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中国选择“先试点、后立法”的渐进路径，是在用制度的灵活性换取立法的成熟度。低位阶文件可以快速出台、快速试错、快速修正，为最终的法律制定积累充分的实践经验。这种路径的制度优势在于，立法文本不是理论推演的产物，而是实践经验的总结——法律中的每一项制度安排都有前期试点的实证支撑。</w:t>
      </w:r>
    </w:p>
    <w:p w14:paraId="3024EB35">
      <w:pPr>
        <w:rPr>
          <w:rFonts w:hint="eastAsia"/>
        </w:rPr>
      </w:pPr>
    </w:p>
    <w:p w14:paraId="074D7D71">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欧盟选择“先立法、后实施”的集中路径，是在用法律的权威性换取治理的统一性。一部综合性法案一次性划定规则边界，为后续的实施细则和市场行为提供稳定的法律预期。这种路径的制度优势在于，规则从一开始就具备充分的透明性和可预期性，企业不需要在不断变化的政策信号中揣测监管方向。</w:t>
      </w:r>
    </w:p>
    <w:p w14:paraId="5ACFF6C9">
      <w:pPr>
        <w:rPr>
          <w:rFonts w:hint="eastAsia"/>
        </w:rPr>
      </w:pPr>
    </w:p>
    <w:p w14:paraId="0BBBEC4A">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两条路径不是优劣的比较，而是不同制度条件下理性选择的分流。但对于中国路径而言，一个需要在后续立法实施中持续关注的检验标准是：从低位阶试点中提取的制度经验，在被抽象化和体系化为法律条款之后，是否仍然保持其原有的实践活力和适应弹性？一部从经验中长出来的法律，其生命力也应当体现在对新生经验的持续吸纳能力上。</w:t>
      </w:r>
    </w:p>
    <w:p w14:paraId="69E8A8F8">
      <w:pPr>
        <w:rPr>
          <w:rFonts w:hint="eastAsia"/>
        </w:rPr>
      </w:pPr>
    </w:p>
    <w:p w14:paraId="6E954D18">
      <w:pPr>
        <w:rPr>
          <w:rFonts w:hint="eastAsia"/>
          <w:sz w:val="36"/>
          <w:szCs w:val="36"/>
          <w:lang w:val="en-US" w:eastAsia="zh-CN"/>
        </w:rPr>
      </w:pPr>
      <w:bookmarkStart w:id="0" w:name="_GoBack"/>
      <w:r>
        <w:rPr>
          <w:rFonts w:hint="eastAsia"/>
          <w:sz w:val="36"/>
          <w:szCs w:val="36"/>
          <w:lang w:val="en-US" w:eastAsia="zh-CN"/>
        </w:rPr>
        <w:t xml:space="preserve"> 5 结语：一部法律的“未完成时”</w:t>
      </w:r>
    </w:p>
    <w:bookmarkEnd w:id="0"/>
    <w:p w14:paraId="4239BE50">
      <w:pPr>
        <w:rPr>
          <w:rFonts w:hint="eastAsia"/>
        </w:rPr>
      </w:pPr>
    </w:p>
    <w:p w14:paraId="2C5B42CC">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人工智能安全法（草案）》的审议通过，是中国AI治理从“软法先行”走向“硬法统领”的标志性时刻。这部法律将过去三年分散在多部低位阶文件中的制度探索——分级分类监管、安全评估、数据溯源、生成标识——提炼、整合并升级为一部统一的立法文本，赋予其最高的法律效力和最强的制度威慑。在这个意义上，它不是一部从零开始创造规则的法律，而是一部为既有规则体系安装“龙骨”的法律。</w:t>
      </w:r>
    </w:p>
    <w:p w14:paraId="523F8C6E">
      <w:pPr>
        <w:rPr>
          <w:rFonts w:hint="eastAsia"/>
        </w:rPr>
      </w:pPr>
    </w:p>
    <w:p w14:paraId="46CD4F8E">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但法律的生命不在于被通过，而在于被实施。草案的后续立法进程——全国人大常委会的审议、可能的修改、最终的颁布——将决定这部法律在走向实践时携带多少制度细节和实施工具。在“加速度”立法之后，配套细则的跟进速度、监管机构的执法能力、司法机关的裁判智慧，将共同决定这部法律能否从“纸面上的框架”转化为“行动中的秩序”。</w:t>
      </w:r>
    </w:p>
    <w:p w14:paraId="442A5C8A">
      <w:pPr>
        <w:rPr>
          <w:rFonts w:hint="eastAsia"/>
        </w:rPr>
      </w:pPr>
    </w:p>
    <w:p w14:paraId="79EC8EBC">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全球AI治理的竞赛中，中国和欧盟各自走出了一条不同的道路。中国道路的核心经验是：用灵活的低位阶文件快速响应技术变化，待制度经验成熟后再以高位阶法律完成体系化定格。这条道路的制度贡献在于，它提供了一种在不牺牲监管灵活性的前提下逐步推进法治化的治理范式。但这条道路的制度考验也恰在于此——当上位法一旦定型，此前低位阶制度中蕴含的弹性和适应性，能否在统一框架中得到充分保留？当一部“从经验中长出来的法律”开始以自身的刚性来约束未来的经验时，它是否还能保持对新经验的持续开放？</w:t>
      </w:r>
    </w:p>
    <w:p w14:paraId="6C301BE3">
      <w:pPr>
        <w:rPr>
          <w:rFonts w:hint="eastAsia"/>
        </w:rPr>
      </w:pPr>
    </w:p>
    <w:p w14:paraId="0154ED45">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部法律的“完成”之日，正是这些追问的“开始”之时。而从更长远的角度看，今天的“加速度”立法，应当为未来的“持续性修法”预留足够的制度接口，让这部法律在技术狂飙的时代始终保持着自我更新的能力。</w:t>
      </w:r>
    </w:p>
    <w:p w14:paraId="02B32D8C">
      <w:pPr>
        <w:rPr>
          <w:rFonts w:hint="eastAsia"/>
        </w:rPr>
      </w:pPr>
    </w:p>
    <w:p w14:paraId="227C9885">
      <w:pPr>
        <w:rPr>
          <w:rFonts w:hint="eastAsia"/>
        </w:rPr>
      </w:pPr>
    </w:p>
    <w:p w14:paraId="2C783AE3">
      <w:pPr>
        <w:rPr>
          <w:rFonts w:hint="eastAsia"/>
        </w:rPr>
      </w:pPr>
      <w:r>
        <w:rPr>
          <w:rFonts w:hint="eastAsia"/>
        </w:rPr>
        <w:t xml:space="preserve"> 参考文献</w:t>
      </w:r>
    </w:p>
    <w:p w14:paraId="70916783">
      <w:pPr>
        <w:rPr>
          <w:rFonts w:hint="eastAsia"/>
        </w:rPr>
      </w:pPr>
    </w:p>
    <w:p w14:paraId="3A81EDB9">
      <w:pPr>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 新华社. 李强主持召开国务院常务会议 审议通过《人工智能安全法（草案）》[EB/OL]. 2026-05-30.</w:t>
      </w:r>
    </w:p>
    <w:p w14:paraId="67C08F6E">
      <w:pPr>
        <w:rPr>
          <w:rFonts w:hint="eastAsia"/>
        </w:rPr>
      </w:pPr>
    </w:p>
    <w:p w14:paraId="6A7B6CAB">
      <w:pPr>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国务院办公厅. 国务院2026年度立法工作计划[Z]. 2026-05-08.</w:t>
      </w:r>
    </w:p>
    <w:p w14:paraId="03706BC9">
      <w:pPr>
        <w:rPr>
          <w:rFonts w:hint="eastAsia"/>
        </w:rPr>
      </w:pPr>
    </w:p>
    <w:p w14:paraId="568CE2D7">
      <w:pPr>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国家互联网信息办公室等. 生成式人工智能服务管理暂行办法[Z]. 2023.</w:t>
      </w:r>
    </w:p>
    <w:p w14:paraId="5FC762C2">
      <w:pPr>
        <w:rPr>
          <w:rFonts w:hint="eastAsia"/>
        </w:rPr>
      </w:pPr>
    </w:p>
    <w:p w14:paraId="2F3B5BF9">
      <w:pPr>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 国家互联网信息办公室等. 互联网信息服务深度合成管理规定[Z]. 2023.</w:t>
      </w:r>
    </w:p>
    <w:p w14:paraId="3EAC9A0D">
      <w:pPr>
        <w:rPr>
          <w:rFonts w:hint="eastAsia"/>
        </w:rPr>
      </w:pPr>
    </w:p>
    <w:p w14:paraId="691FEF99">
      <w:pPr>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 工业和信息化部等十部门. 人工智能科技伦理审查与服务办法（试行）[Z]. 2026-03.</w:t>
      </w:r>
    </w:p>
    <w:p w14:paraId="00312659">
      <w:pPr>
        <w:rPr>
          <w:rFonts w:hint="eastAsia"/>
        </w:rPr>
      </w:pPr>
    </w:p>
    <w:p w14:paraId="362D3A98">
      <w:pPr>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 全国网络安全标准化技术委员会. 人工智能应用伦理安全指引1.0[S]. 2026-05.</w:t>
      </w:r>
    </w:p>
    <w:p w14:paraId="29F26173">
      <w:pPr>
        <w:rPr>
          <w:rFonts w:hint="eastAsia"/>
        </w:rPr>
      </w:pPr>
    </w:p>
    <w:p w14:paraId="4282F32A">
      <w:pPr>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[7] 国家互联网信息办公室等. 智能体规范应用与创新发展实施意见[Z]. 2026-05.</w:t>
      </w:r>
    </w:p>
    <w:p w14:paraId="0BCA749B">
      <w:pPr>
        <w:rPr>
          <w:rFonts w:hint="eastAsia"/>
        </w:rPr>
      </w:pPr>
    </w:p>
    <w:p w14:paraId="2E025214">
      <w:pPr>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[8] 国家互联网信息办公室等. 人工智能拟人化互动服务管理暂行办法[Z]. 2026-04.</w:t>
      </w:r>
    </w:p>
    <w:p w14:paraId="07889D02">
      <w:pPr>
        <w:rPr>
          <w:rFonts w:hint="eastAsia"/>
        </w:rPr>
      </w:pPr>
    </w:p>
    <w:p w14:paraId="26E1A884">
      <w:pPr>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 European Commission. The EU Artificial Intelligence Act（Regulation 2024/1689）[Z]. 2024.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44C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2026-05-30T17:37:07Z</dcterms:created>
  <dc:creator>永远健康</dc:creator>
  <cp:lastModifiedBy>WPS_1719835985</cp:lastModifiedBy>
  <dcterms:modified xsi:type="dcterms:W3CDTF">2026-05-30T17:42:23Z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35D65C3DF40648A3BF325673EA117024_12</vt:lpwstr>
  </property>
</Properties>
</file>