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11EE3">
      <w:pPr>
        <w:spacing w:before="240" w:beforeAutospacing="0" w:after="120" w:afterAutospacing="0"/>
        <w:jc w:val="center"/>
        <w:rPr>
          <w:rFonts w:asciiTheme="minorHAnsi" w:hAnsiTheme="minorHAnsi" w:eastAsiaTheme="minorEastAsia" w:cstheme="minorBidi"/>
          <w:b/>
          <w:bCs/>
          <w:kern w:val="2"/>
          <w:sz w:val="21"/>
          <w:szCs w:val="24"/>
          <w:lang w:val="en-US" w:eastAsia="zh-CN" w:bidi="ar-SA"/>
        </w:rPr>
      </w:pPr>
      <w:bookmarkStart w:id="0" w:name="_GoBack"/>
      <w:r>
        <w:rPr>
          <w:rFonts w:hint="default" w:ascii="黑体" w:hAnsi="宋体" w:eastAsia="黑体" w:cs="黑体"/>
          <w:b/>
          <w:bCs/>
          <w:kern w:val="2"/>
          <w:sz w:val="44"/>
          <w:szCs w:val="24"/>
          <w:lang w:val="en-US" w:eastAsia="zh-CN" w:bidi="ar-SA"/>
        </w:rPr>
        <w:t xml:space="preserve"> “快上加快”：中国AI“星际之门”的国家主导逻辑与央地协同治理</w:t>
      </w:r>
    </w:p>
    <w:p w14:paraId="47134361">
      <w:pPr>
        <w:rPr>
          <w:rFonts w:hint="eastAsia"/>
        </w:rPr>
      </w:pPr>
    </w:p>
    <w:p w14:paraId="3AEA8A72">
      <w:pPr>
        <w:rPr>
          <w:rFonts w:hint="eastAsia" w:eastAsiaTheme="minorEastAsia"/>
          <w:lang w:eastAsia="zh-CN"/>
        </w:rPr>
      </w:pPr>
      <w:r>
        <w:rPr>
          <w:rFonts w:hint="eastAsia"/>
        </w:rPr>
        <w:t>AIGC使用声明</w:t>
      </w:r>
    </w:p>
    <w:p w14:paraId="67359607">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013BE08A">
      <w:pPr>
        <w:rPr>
          <w:rFonts w:hint="eastAsia"/>
        </w:rPr>
      </w:pPr>
    </w:p>
    <w:p w14:paraId="0E19FBF1">
      <w:pPr>
        <w:rPr>
          <w:rFonts w:hint="eastAsia"/>
        </w:rPr>
      </w:pPr>
    </w:p>
    <w:p w14:paraId="7A1D8626">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4"/>
          <w:szCs w:val="24"/>
          <w:lang w:val="en-US" w:eastAsia="zh-CN" w:bidi="ar-SA"/>
        </w:rPr>
        <w:t xml:space="preserve"> 摘要</w:t>
      </w:r>
    </w:p>
    <w:p w14:paraId="0A455948">
      <w:pPr>
        <w:rPr>
          <w:rFonts w:hint="eastAsia"/>
        </w:rPr>
      </w:pPr>
    </w:p>
    <w:p w14:paraId="260589C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国家发改委在月度新闻发布会上宣布正在开展人工智能立法研究并谋划出台“人工智能+”落地配套文件，上海次日即以“闻令而动，快上加快”的姿态系统展示了其AI落地的最新图景：智算规模超16万P、8家国企开放50个核心场景、一系列“首个首单”先行先试密集落地。这一“中央信号—地方加速”的传导机制，是中国“集中力量办大事”模式在AI领域的典型展开。本文以上海为观察窗口，系统分析国家主导的AI推进逻辑：在顶层设计上，“六张网”将算力网上升为国家骨干基础设施；在地方响应上，场景开放、算力先行和工程化推进构成了独特的产业动员方式；在资本布局上，国有基金矩阵实现了从算力到应用的全链条覆盖。本文在揭示这一模式的速度优势、规模优势和方向优势的同时，也剖析其结构性隐忧——地方竞逐下的重复建设风险、可量化KPI与原始创新之间的张力、“快上加快”与安全治理之间的节奏脱节，以及场景开放中隐含的权力集中。结论认为，中国AI治理需要在“快”与“稳”之间建立制度性平衡机制，让“集中力量办大事”从高效的产业动员升华为可持续的创新生态。</w:t>
      </w:r>
    </w:p>
    <w:p w14:paraId="28F91DD2">
      <w:pPr>
        <w:rPr>
          <w:rFonts w:hint="eastAsia"/>
        </w:rPr>
      </w:pPr>
    </w:p>
    <w:p w14:paraId="09139C65">
      <w:pPr>
        <w:spacing w:before="240" w:beforeAutospacing="0" w:after="120" w:afterAutospacing="0" w:line="360" w:lineRule="auto"/>
        <w:ind w:firstLine="482" w:firstLineChars="200"/>
        <w:rPr>
          <w:rFonts w:hint="default"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4"/>
          <w:szCs w:val="24"/>
          <w:lang w:val="en-US" w:eastAsia="zh-CN" w:bidi="ar-SA"/>
        </w:rPr>
        <w:t>关键词：人工智能+；集中力量办大事；央地关系；算力基础设施；场景开放；工程化治理</w:t>
      </w:r>
    </w:p>
    <w:p w14:paraId="1A288DF0">
      <w:pPr>
        <w:rPr>
          <w:rFonts w:hint="eastAsia"/>
        </w:rPr>
      </w:pPr>
    </w:p>
    <w:p w14:paraId="16CD8949">
      <w:pPr>
        <w:rPr>
          <w:rFonts w:hint="eastAsia"/>
        </w:rPr>
      </w:pPr>
    </w:p>
    <w:p w14:paraId="7570D31A">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1 引言：AI时代的“星际之门”与上海速度</w:t>
      </w:r>
    </w:p>
    <w:p w14:paraId="3E20A658">
      <w:pPr>
        <w:rPr>
          <w:rFonts w:hint="eastAsia"/>
        </w:rPr>
      </w:pPr>
    </w:p>
    <w:p w14:paraId="182C40C6">
      <w:pPr>
        <w:rPr>
          <w:rFonts w:hint="eastAsia"/>
        </w:rPr>
      </w:pPr>
      <w:r>
        <w:rPr>
          <w:rFonts w:hint="default" w:ascii="宋体" w:hAnsi="宋体" w:eastAsia="宋体" w:cs="宋体"/>
          <w:kern w:val="2"/>
          <w:sz w:val="24"/>
          <w:szCs w:val="24"/>
          <w:lang w:val="en-US" w:eastAsia="zh-CN" w:bidi="ar-SA"/>
        </w:rPr>
        <w:t>“星际之门”（Stargate）是美国在2025年公布的AI基础设施超级项目，意在通过数千亿美元的集中投资建立算力霸权。而中国虽然没有以同一名称命名的项目，却在制度层面构筑起一套更为复杂的“AI星际之门”——它不是一个工程，而是一种体制运作方式：以国家意志为牵引，以央地协同为传动，以国企场景为练兵场，以快速迭代的财政和产业政策为工具，推动AI基础设施建设和应用落地不断加速。上海，正是这扇“门”最醒目的入口。</w:t>
      </w:r>
    </w:p>
    <w:p w14:paraId="6867CAD2">
      <w:pPr>
        <w:rPr>
          <w:rFonts w:hint="eastAsia"/>
        </w:rPr>
      </w:pPr>
    </w:p>
    <w:p w14:paraId="0534412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22日，国家发改委在月度新闻发布会上释放清晰信号：正在开展人工智能立法研究，谋划出台加快“人工智能+”落地的配套文件。次日，上海主流媒体以“闻令而动，上海推动AI落地‘快上加快’”为题，全景式披露了上海的响应部署。上海智算规模已超16万P，8家市属国企集中开放50个核心业务场景，人形机器人首次参与城管执法试点，全国首例具身智能机器人保险理赔落地，10万台人形机器人进工厂的目标被正式写入规划，“模塑申城”工程的算力券、模型券、语料券补贴全面启动申报——这些事件密集发生在同一个时间窗口，折射出一种不同于市场自发演进的推进逻辑。</w:t>
      </w:r>
    </w:p>
    <w:p w14:paraId="2E062E92">
      <w:pPr>
        <w:rPr>
          <w:rFonts w:hint="eastAsia"/>
        </w:rPr>
      </w:pPr>
    </w:p>
    <w:p w14:paraId="67EC56D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所要探讨的核心问题是：这种“快上加快”背后的治理逻辑是什么？国家主导的“集中力量办大事”模式在AI领域呈现出哪些制度优势，又隐含着怎样的结构性风险？在央地关系的维度上，上海的先行先试扮演着什么角色，这种角色是否可持续？通过对上述问题的分析，本文试图提供一个理解中国AI发展路径的政治经济学框架。</w:t>
      </w:r>
    </w:p>
    <w:p w14:paraId="46A088A9">
      <w:pPr>
        <w:rPr>
          <w:rFonts w:hint="eastAsia"/>
        </w:rPr>
      </w:pPr>
    </w:p>
    <w:p w14:paraId="29330DEA">
      <w:pPr>
        <w:rPr>
          <w:rFonts w:hint="eastAsia"/>
        </w:rPr>
      </w:pPr>
    </w:p>
    <w:p w14:paraId="3EE0D946">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2 顶层设计：从“六张网”看AI基础设施的国家升格</w:t>
      </w:r>
    </w:p>
    <w:p w14:paraId="23B45A1F">
      <w:pPr>
        <w:rPr>
          <w:rFonts w:hint="eastAsia"/>
        </w:rPr>
      </w:pPr>
    </w:p>
    <w:p w14:paraId="01C82A89">
      <w:pPr>
        <w:spacing w:before="240" w:beforeAutospacing="0" w:after="120" w:afterAutospacing="0"/>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 xml:space="preserve"> 2.1 算力网进入国家骨干基础设施序列</w:t>
      </w:r>
    </w:p>
    <w:p w14:paraId="3CEE5C52">
      <w:pPr>
        <w:rPr>
          <w:rFonts w:hint="eastAsia"/>
        </w:rPr>
      </w:pPr>
    </w:p>
    <w:p w14:paraId="11D03346">
      <w:pPr>
        <w:rPr>
          <w:rFonts w:hint="eastAsia"/>
        </w:rPr>
      </w:pPr>
      <w:r>
        <w:rPr>
          <w:rFonts w:hint="default" w:ascii="宋体" w:hAnsi="宋体" w:eastAsia="宋体" w:cs="宋体"/>
          <w:kern w:val="2"/>
          <w:sz w:val="24"/>
          <w:szCs w:val="24"/>
          <w:lang w:val="en-US" w:eastAsia="zh-CN" w:bidi="ar-SA"/>
        </w:rPr>
        <w:t>理解中国AI治理逻辑的关键，在于理解基础设施的制度定位。在“十五五”规划的战略框架中，水网、新型电网、算力网、新一代通信网、城市地下管网和物流网被统称为“六张网”，作为国家新型基础设施建设的骨干框架同步推进。这是一个具有深远意义的制度安排：算力不再仅仅是科技部门的行业性事务，而是被提升到了与水网、电网同等层级的基础设施地位。</w:t>
      </w:r>
    </w:p>
    <w:p w14:paraId="59A20D69">
      <w:pPr>
        <w:rPr>
          <w:rFonts w:hint="eastAsia"/>
        </w:rPr>
      </w:pPr>
    </w:p>
    <w:p w14:paraId="29491E83">
      <w:pPr>
        <w:rPr>
          <w:rFonts w:hint="eastAsia"/>
        </w:rPr>
      </w:pPr>
      <w:r>
        <w:rPr>
          <w:rFonts w:hint="default" w:ascii="宋体" w:hAnsi="宋体" w:eastAsia="宋体" w:cs="宋体"/>
          <w:kern w:val="2"/>
          <w:sz w:val="24"/>
          <w:szCs w:val="24"/>
          <w:lang w:val="en-US" w:eastAsia="zh-CN" w:bidi="ar-SA"/>
        </w:rPr>
        <w:t>“骨干基础设施”的定性意味着三重制度转变。第一，算力建设从此具有了国家战略优先性，可以在土地、能耗指标、财政资金等方面获得与传统基础设施对等的资源保障。第二，算力网络被纳入统一规划体系，不再完全由市场自发配置——国家可以在区域间进行算力资源的战略性布局，避免算力过度集中在商业回报最高的少数地区而忽略战略纵深。第三，算力基础设施的“公共品”属性得到制度确认，这为国家通过“适度超前建设”引领而非被动响应市场需求提供了合法性依据。</w:t>
      </w:r>
    </w:p>
    <w:p w14:paraId="246A9336">
      <w:pPr>
        <w:rPr>
          <w:rFonts w:hint="eastAsia"/>
        </w:rPr>
      </w:pPr>
    </w:p>
    <w:p w14:paraId="5425C878">
      <w:pPr>
        <w:spacing w:before="240" w:beforeAutospacing="0" w:after="120" w:afterAutospacing="0"/>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 xml:space="preserve"> 2.2 中央信号与地方加速：“闻令而动”的制度机理</w:t>
      </w:r>
    </w:p>
    <w:p w14:paraId="08E8D6F4">
      <w:pPr>
        <w:rPr>
          <w:rFonts w:hint="eastAsia"/>
        </w:rPr>
      </w:pPr>
    </w:p>
    <w:p w14:paraId="79002F3A">
      <w:pPr>
        <w:rPr>
          <w:rFonts w:hint="eastAsia"/>
        </w:rPr>
      </w:pPr>
      <w:r>
        <w:rPr>
          <w:rFonts w:hint="default" w:ascii="宋体" w:hAnsi="宋体" w:eastAsia="宋体" w:cs="宋体"/>
          <w:kern w:val="2"/>
          <w:sz w:val="24"/>
          <w:szCs w:val="24"/>
          <w:lang w:val="en-US" w:eastAsia="zh-CN" w:bidi="ar-SA"/>
        </w:rPr>
        <w:t>从国家发改委发布会到上海“快上加快”的报道，时间间隔仅一天。这种近乎实时的政策响应速度，在分散决策的市场体系中几乎不可能实现。它背后的制度机理是：中央释放政策框架性信号，地方迅速将其转化为具体的量化目标和行动方案，并借助媒体公开表态以锁定承诺、争取先发优势。</w:t>
      </w:r>
    </w:p>
    <w:p w14:paraId="42872BE6">
      <w:pPr>
        <w:rPr>
          <w:rFonts w:hint="eastAsia"/>
        </w:rPr>
      </w:pPr>
    </w:p>
    <w:p w14:paraId="7E88E940">
      <w:pPr>
        <w:rPr>
          <w:rFonts w:hint="eastAsia"/>
        </w:rPr>
      </w:pPr>
      <w:r>
        <w:rPr>
          <w:rFonts w:hint="default" w:ascii="宋体" w:hAnsi="宋体" w:eastAsia="宋体" w:cs="宋体"/>
          <w:kern w:val="2"/>
          <w:sz w:val="24"/>
          <w:szCs w:val="24"/>
          <w:lang w:val="en-US" w:eastAsia="zh-CN" w:bidi="ar-SA"/>
        </w:rPr>
        <w:t>值得关注的是这一过程中政策信号的“加倍效应”。发改委表示“谋划出台配套文件”，上海的落地表述直接升格为“快上加快”——信号在纵向传导中不是衰减而是增强。这种现象并非上海独有的政治表态，而是嵌套在一套完整的央地互动机制之中：中央发布政策导向→地方竞相对标表态→率先响应者获得政策红利和资源配置倾斜→后发者被迫跟进→形成“竞赛式执行”的动态均衡。这种机制的优势在于它能以极快的速度完成从中央决策到地方部署的全链条传导，在AI竞争以“周”为时间单位的当下，这种速度本身就是一种竞争力。</w:t>
      </w:r>
    </w:p>
    <w:p w14:paraId="67BB8702">
      <w:pPr>
        <w:rPr>
          <w:rFonts w:hint="eastAsia"/>
        </w:rPr>
      </w:pPr>
    </w:p>
    <w:p w14:paraId="5376D537">
      <w:pPr>
        <w:rPr>
          <w:rFonts w:hint="eastAsia"/>
        </w:rPr>
      </w:pPr>
      <w:r>
        <w:rPr>
          <w:rFonts w:hint="default" w:ascii="宋体" w:hAnsi="宋体" w:eastAsia="宋体" w:cs="宋体"/>
          <w:kern w:val="2"/>
          <w:sz w:val="24"/>
          <w:szCs w:val="24"/>
          <w:lang w:val="en-US" w:eastAsia="zh-CN" w:bidi="ar-SA"/>
        </w:rPr>
        <w:t>但“加倍效应”也隐含着一个值得追问的问题：如果信号在传导过程中持续增强，那么谁来判断“快”的边界在哪里？当中央和地方的注意力都集中在“加快”上时，“该不该慢下来”就成了一个制度性的盲区。</w:t>
      </w:r>
    </w:p>
    <w:p w14:paraId="2B762A1E">
      <w:pPr>
        <w:rPr>
          <w:rFonts w:hint="eastAsia"/>
        </w:rPr>
      </w:pPr>
    </w:p>
    <w:p w14:paraId="6AB9E5B3">
      <w:pPr>
        <w:rPr>
          <w:rFonts w:hint="eastAsia"/>
        </w:rPr>
      </w:pPr>
    </w:p>
    <w:p w14:paraId="6418E647">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3 地方响应：上海“快上加快”的制度展开</w:t>
      </w:r>
    </w:p>
    <w:p w14:paraId="6EB0C4E9">
      <w:pPr>
        <w:rPr>
          <w:rFonts w:hint="eastAsia"/>
        </w:rPr>
      </w:pPr>
    </w:p>
    <w:p w14:paraId="07B79947">
      <w:pPr>
        <w:spacing w:before="240" w:beforeAutospacing="0" w:after="120" w:afterAutospacing="0"/>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 xml:space="preserve"> 3.1 战略锚定与量化动员</w:t>
      </w:r>
    </w:p>
    <w:p w14:paraId="24B88172">
      <w:pPr>
        <w:rPr>
          <w:rFonts w:hint="eastAsia"/>
        </w:rPr>
      </w:pPr>
    </w:p>
    <w:p w14:paraId="1ABA4CE5">
      <w:pPr>
        <w:rPr>
          <w:rFonts w:hint="eastAsia"/>
        </w:rPr>
      </w:pPr>
      <w:r>
        <w:rPr>
          <w:rFonts w:hint="default" w:ascii="宋体" w:hAnsi="宋体" w:eastAsia="宋体" w:cs="宋体"/>
          <w:kern w:val="2"/>
          <w:sz w:val="24"/>
          <w:szCs w:val="24"/>
          <w:lang w:val="en-US" w:eastAsia="zh-CN" w:bidi="ar-SA"/>
        </w:rPr>
        <w:t>上海将“人工智能+”行动定位为“十五五”产业变革的核心抓手，这不仅是修辞性的表态，而是资源配置优先级的制度宣示。“核心抓手”意味着AI在产业政策体系中超越了传统支柱产业的地位，成为统领全局的战略支点。这种定位的实际效果是，财政补贴、国资投资、场景资源、人才政策都围绕AI进行了系统性的再配置。</w:t>
      </w:r>
    </w:p>
    <w:p w14:paraId="7F098675">
      <w:pPr>
        <w:rPr>
          <w:rFonts w:hint="eastAsia"/>
        </w:rPr>
      </w:pPr>
    </w:p>
    <w:p w14:paraId="2DC0ACE5">
      <w:pPr>
        <w:rPr>
          <w:rFonts w:hint="eastAsia"/>
        </w:rPr>
      </w:pPr>
      <w:r>
        <w:rPr>
          <w:rFonts w:hint="default" w:ascii="宋体" w:hAnsi="宋体" w:eastAsia="宋体" w:cs="宋体"/>
          <w:kern w:val="2"/>
          <w:sz w:val="24"/>
          <w:szCs w:val="24"/>
          <w:lang w:val="en-US" w:eastAsia="zh-CN" w:bidi="ar-SA"/>
        </w:rPr>
        <w:t>在操作层面，上海的推进呈现出鲜明的“工程化”特征——将宏大的战略目标分解为可量化的具体指标并配以明确的时间节点。到“十五五”末，推动10万台人形机器人进工厂；规上工业企业智能体应用普及率超过80%；智算规模超16万P，较四个月前净增约4万P，增幅33%。此外，中心城区静安区进一步细化目标：到2028年底形成50个以上人工智能示范应用项目，每年培育10个以上智能体或垂类模型标杆项目。</w:t>
      </w:r>
    </w:p>
    <w:p w14:paraId="5B13B69B">
      <w:pPr>
        <w:rPr>
          <w:rFonts w:hint="eastAsia"/>
        </w:rPr>
      </w:pPr>
    </w:p>
    <w:p w14:paraId="4251A753">
      <w:pPr>
        <w:rPr>
          <w:rFonts w:hint="eastAsia"/>
        </w:rPr>
      </w:pPr>
      <w:r>
        <w:rPr>
          <w:rFonts w:hint="default" w:ascii="宋体" w:hAnsi="宋体" w:eastAsia="宋体" w:cs="宋体"/>
          <w:kern w:val="2"/>
          <w:sz w:val="24"/>
          <w:szCs w:val="24"/>
          <w:lang w:val="en-US" w:eastAsia="zh-CN" w:bidi="ar-SA"/>
        </w:rPr>
        <w:t>这些数字不应当被简单读作地方政府的宣传口径，它们实质上是产业动员的指挥棒。10万台机器人进工厂不是市场的自发过程——它涉及厂房改造、工人培训、产业链配套、安全标准制定等一系列需要行政力量推动的系统工程。80%的普及率意味着规上工业企业的生产组织方式将发生结构性改变。当这些量化目标被公开宣示，它们就转变为地方官员考核的压力和产业界投资的预期导向，形成一种“以目标牵引行动”的治理闭环。</w:t>
      </w:r>
    </w:p>
    <w:p w14:paraId="1DBDAD2D">
      <w:pPr>
        <w:rPr>
          <w:rFonts w:hint="eastAsia"/>
        </w:rPr>
      </w:pPr>
    </w:p>
    <w:p w14:paraId="4C887ACC">
      <w:pPr>
        <w:spacing w:before="240" w:beforeAutospacing="0" w:after="120" w:afterAutospacing="0"/>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 xml:space="preserve"> 3.2 场景开放：以国家需求牵引技术创新</w:t>
      </w:r>
    </w:p>
    <w:p w14:paraId="797D6B31">
      <w:pPr>
        <w:rPr>
          <w:rFonts w:hint="eastAsia"/>
        </w:rPr>
      </w:pPr>
    </w:p>
    <w:p w14:paraId="671E6660">
      <w:pPr>
        <w:rPr>
          <w:rFonts w:hint="eastAsia"/>
        </w:rPr>
      </w:pPr>
      <w:r>
        <w:rPr>
          <w:rFonts w:hint="default" w:ascii="宋体" w:hAnsi="宋体" w:eastAsia="宋体" w:cs="宋体"/>
          <w:kern w:val="2"/>
          <w:sz w:val="24"/>
          <w:szCs w:val="24"/>
          <w:lang w:val="en-US" w:eastAsia="zh-CN" w:bidi="ar-SA"/>
        </w:rPr>
        <w:t>2026年3月，上海市国资委在2026全球开发者先锋大会上，集中开放来自上海电气、上港集团、华建集团、浦发银行、上海银行、国泰海通、机场集团、申通地铁集团8家市属国企的50个核心业务场景赛题，覆盖金融、制造、交通、建造等领域，深嵌企业生产运营的设计、质检、排程、运维、调度等核心流程。开放场景的同时，还同步提供了测试环境、数据语料和算力支撑三项关键要素。</w:t>
      </w:r>
    </w:p>
    <w:p w14:paraId="41B48D49">
      <w:pPr>
        <w:rPr>
          <w:rFonts w:hint="eastAsia"/>
        </w:rPr>
      </w:pPr>
    </w:p>
    <w:p w14:paraId="2088DF39">
      <w:pPr>
        <w:rPr>
          <w:rFonts w:hint="eastAsia"/>
        </w:rPr>
      </w:pPr>
      <w:r>
        <w:rPr>
          <w:rFonts w:hint="default" w:ascii="宋体" w:hAnsi="宋体" w:eastAsia="宋体" w:cs="宋体"/>
          <w:kern w:val="2"/>
          <w:sz w:val="24"/>
          <w:szCs w:val="24"/>
          <w:lang w:val="en-US" w:eastAsia="zh-CN" w:bidi="ar-SA"/>
        </w:rPr>
        <w:t>这一制度设计的独特之处在于，它不是传统的“给企业发补贴，让企业自己找市场”，而是直接将国家控制的产业资源——国企的核心业务需求——转化为AI技术验证的“练兵场”。这是一种“需求牵引供给”的制度创新：国家以“场景所有者”的身份，主动为AI技术创造应用出口，从而缩短了技术从实验室到产业落地的周期。</w:t>
      </w:r>
    </w:p>
    <w:p w14:paraId="2577D414">
      <w:pPr>
        <w:rPr>
          <w:rFonts w:hint="eastAsia"/>
        </w:rPr>
      </w:pPr>
    </w:p>
    <w:p w14:paraId="6EEC8B80">
      <w:pPr>
        <w:rPr>
          <w:rFonts w:hint="eastAsia"/>
        </w:rPr>
      </w:pPr>
      <w:r>
        <w:rPr>
          <w:rFonts w:hint="default" w:ascii="宋体" w:hAnsi="宋体" w:eastAsia="宋体" w:cs="宋体"/>
          <w:kern w:val="2"/>
          <w:sz w:val="24"/>
          <w:szCs w:val="24"/>
          <w:lang w:val="en-US" w:eastAsia="zh-CN" w:bidi="ar-SA"/>
        </w:rPr>
        <w:t>同时，场景开放也起到了产业动员的作用。挑战赛、黑客松等赛马机制，吸引了全社会的创新力量进入；专门细化场景颗粒度、适配一人公司等中小创新主体的设计，降低了准入门槛。这种“大企业开放场景，小团队贡献创意”的模式，构成了“集中力量办大事”的一个独特面向：既集中资源于少数国企进行基础设施投资，又通过开放接口分散创新参与，形成一种“中心—外围”式的创新生态。</w:t>
      </w:r>
    </w:p>
    <w:p w14:paraId="6932B20E">
      <w:pPr>
        <w:rPr>
          <w:rFonts w:hint="eastAsia"/>
        </w:rPr>
      </w:pPr>
    </w:p>
    <w:p w14:paraId="48DD8190">
      <w:pPr>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3.3 先行先试的制度角色</w:t>
      </w:r>
    </w:p>
    <w:p w14:paraId="160B3F04">
      <w:pPr>
        <w:rPr>
          <w:rFonts w:hint="eastAsia"/>
        </w:rPr>
      </w:pPr>
    </w:p>
    <w:p w14:paraId="33E97264">
      <w:pPr>
        <w:spacing w:before="240" w:beforeAutospacing="0" w:after="120" w:afterAutospacing="0"/>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上海在AI领域的先行先试不是偶发的亮点工程，而是一种制度性习惯。浦东开展全国首次人机协同城管执法试点，虽然将机器人严格限定在“普法宣传和智能问答”的辅助角色并设置了“人类拍板”的责任防火墙，但这扇门一旦打开，后续迭代就不可避免地向更深度的协同迈进。全国首例具身智能机器人保险理赔在上海落地，打通了“投保—作业—出险—查勘—定损—赔付”的全流程闭环，以市场机制为法律空白提供了过渡性的兜底方案。</w:t>
      </w:r>
    </w:p>
    <w:p w14:paraId="2F2C95FA">
      <w:pPr>
        <w:rPr>
          <w:rFonts w:hint="eastAsia"/>
        </w:rPr>
      </w:pPr>
    </w:p>
    <w:p w14:paraId="6A33B718">
      <w:pPr>
        <w:rPr>
          <w:rFonts w:hint="eastAsia"/>
        </w:rPr>
      </w:pPr>
      <w:r>
        <w:rPr>
          <w:rFonts w:hint="default" w:ascii="宋体" w:hAnsi="宋体" w:eastAsia="宋体" w:cs="宋体"/>
          <w:kern w:val="2"/>
          <w:sz w:val="24"/>
          <w:szCs w:val="24"/>
          <w:lang w:val="en-US" w:eastAsia="zh-CN" w:bidi="ar-SA"/>
        </w:rPr>
        <w:t>这些“首个”“首单”的密集出现，揭示了上海在国家AI治理体系中承担的核心角色：不是被动执行中央指令的下级行政单位，而是主动为整个国家探路的“试验场”。国家发改委主任郑栅洁在2026年4月专程赴上海人工智能实验室调研，强调“发挥国家实验室等国家战略科技力量优势”，这一选择本身印证了上海在AI版图中的特殊定位——它同时承担着产业落地、场景验证和制度摸索三重功能，是中国AI“星际之门”的一号试验舱。</w:t>
      </w:r>
    </w:p>
    <w:p w14:paraId="1D08D031">
      <w:pPr>
        <w:rPr>
          <w:rFonts w:hint="eastAsia"/>
        </w:rPr>
      </w:pPr>
    </w:p>
    <w:p w14:paraId="21E07748">
      <w:pPr>
        <w:rPr>
          <w:rFonts w:hint="eastAsia"/>
        </w:rPr>
      </w:pPr>
    </w:p>
    <w:p w14:paraId="19BF934D">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4 基础设施优先：算力与资本的治理组合</w:t>
      </w:r>
    </w:p>
    <w:p w14:paraId="481431F7">
      <w:pPr>
        <w:rPr>
          <w:rFonts w:hint="eastAsia"/>
        </w:rPr>
      </w:pPr>
    </w:p>
    <w:p w14:paraId="574928AD">
      <w:pPr>
        <w:spacing w:before="240" w:beforeAutospacing="0" w:after="120" w:afterAutospacing="0"/>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 xml:space="preserve"> 4.1 算力“适度超前”的供给引领逻辑</w:t>
      </w:r>
    </w:p>
    <w:p w14:paraId="492B0813">
      <w:pPr>
        <w:rPr>
          <w:rFonts w:hint="eastAsia"/>
        </w:rPr>
      </w:pPr>
    </w:p>
    <w:p w14:paraId="7CDA7E6A">
      <w:pPr>
        <w:rPr>
          <w:rFonts w:hint="eastAsia"/>
        </w:rPr>
      </w:pPr>
      <w:r>
        <w:rPr>
          <w:rFonts w:hint="default" w:ascii="宋体" w:hAnsi="宋体" w:eastAsia="宋体" w:cs="宋体"/>
          <w:kern w:val="2"/>
          <w:sz w:val="24"/>
          <w:szCs w:val="24"/>
          <w:lang w:val="en-US" w:eastAsia="zh-CN" w:bidi="ar-SA"/>
        </w:rPr>
        <w:t>上海智算规模从2026年1月的12万P到5月的16万P，四个月内净增4万P，增幅达33%。这种增速不是市场需求的被动反映，而是“适度超前建设”战略的主动作为。上海市经信委副主任潘焱明确表示，“适度超前建设一批智算基础设施，加快沪产芯片规模化部署；构建自主可控的智算产业，构建‘国芯国模国云’体系”。</w:t>
      </w:r>
    </w:p>
    <w:p w14:paraId="1E10E838">
      <w:pPr>
        <w:rPr>
          <w:rFonts w:hint="eastAsia"/>
        </w:rPr>
      </w:pPr>
    </w:p>
    <w:p w14:paraId="5989C188">
      <w:pPr>
        <w:rPr>
          <w:rFonts w:hint="eastAsia"/>
        </w:rPr>
      </w:pPr>
      <w:r>
        <w:rPr>
          <w:rFonts w:hint="default" w:ascii="宋体" w:hAnsi="宋体" w:eastAsia="宋体" w:cs="宋体"/>
          <w:kern w:val="2"/>
          <w:sz w:val="24"/>
          <w:szCs w:val="24"/>
          <w:lang w:val="en-US" w:eastAsia="zh-CN" w:bidi="ar-SA"/>
        </w:rPr>
        <w:t>“适度超前”是一个具有丰富制度意涵的治理策略。传统基础设施建设通常遵循“需求驱动”逻辑——先有需求缺口，再启动建设。但“超前”意味着主动创造供给以引领需求：通过提供超出当前市场需求的算力资源，降低AI企业进入的门槛，从而催生新的应用场景和商业模式。这是一种典型的“供给先行”战略，在通信领域的3G/4G/5G网络建设中被证明有效，如今被平移到了AI算力领域。</w:t>
      </w:r>
    </w:p>
    <w:p w14:paraId="0D8B3320">
      <w:pPr>
        <w:rPr>
          <w:rFonts w:hint="eastAsia"/>
        </w:rPr>
      </w:pPr>
    </w:p>
    <w:p w14:paraId="1BD6BF9D">
      <w:pPr>
        <w:rPr>
          <w:rFonts w:hint="eastAsia"/>
        </w:rPr>
      </w:pPr>
      <w:r>
        <w:rPr>
          <w:rFonts w:hint="default" w:ascii="宋体" w:hAnsi="宋体" w:eastAsia="宋体" w:cs="宋体"/>
          <w:kern w:val="2"/>
          <w:sz w:val="24"/>
          <w:szCs w:val="24"/>
          <w:lang w:val="en-US" w:eastAsia="zh-CN" w:bidi="ar-SA"/>
        </w:rPr>
        <w:t>然而，“适度超前”也面临一个两难：超前到什么程度是“适度”，什么程度是“过度”？在市场需求尚未明朗的阶段，大规模超前建设可能造成资源闲置或技术路线锁定——一旦大量资金投入某种特定架构的算力集群，转向替代技术的成本就会急剧升高。在当前AI技术路线尚存变数的背景下，超前建设的沉没成本风险需要被严肃评估。</w:t>
      </w:r>
    </w:p>
    <w:p w14:paraId="00EE86BA">
      <w:pPr>
        <w:rPr>
          <w:rFonts w:hint="eastAsia"/>
        </w:rPr>
      </w:pPr>
    </w:p>
    <w:p w14:paraId="78FAA2D0">
      <w:pPr>
        <w:spacing w:before="240" w:beforeAutospacing="0" w:after="120" w:afterAutospacing="0"/>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 xml:space="preserve"> 4.2 国有资本的全链条布局</w:t>
      </w:r>
    </w:p>
    <w:p w14:paraId="581D9811">
      <w:pPr>
        <w:rPr>
          <w:rFonts w:hint="eastAsia"/>
        </w:rPr>
      </w:pPr>
    </w:p>
    <w:p w14:paraId="6C97DEC6">
      <w:pPr>
        <w:rPr>
          <w:rFonts w:hint="eastAsia"/>
        </w:rPr>
      </w:pPr>
      <w:r>
        <w:rPr>
          <w:rFonts w:hint="default" w:ascii="宋体" w:hAnsi="宋体" w:eastAsia="宋体" w:cs="宋体"/>
          <w:kern w:val="2"/>
          <w:sz w:val="24"/>
          <w:szCs w:val="24"/>
          <w:lang w:val="en-US" w:eastAsia="zh-CN" w:bidi="ar-SA"/>
        </w:rPr>
        <w:t>上海的AI资本布局呈现出“国有主导、全链覆盖”的鲜明特征。上海国投先导人工智能基金已完成对AI算力、数据语料、模型、具身智能、端侧AI、AI+X等赛道的全栈式投资，覆盖了壁仞科技、库帕思、MiniMax、阶跃星辰、智元机器人等链主企业。科学智能专项基金锚定AI4S全产业链战略布局，覆盖算力支撑、数据要素、科学仪器、科学大模型、智能体等关键领域。上海未来产业基金已投出近50亿元，围绕AI for fusion等前沿方向进行系统性布局。</w:t>
      </w:r>
    </w:p>
    <w:p w14:paraId="4026F172">
      <w:pPr>
        <w:rPr>
          <w:rFonts w:hint="eastAsia"/>
        </w:rPr>
      </w:pPr>
    </w:p>
    <w:p w14:paraId="1FAF6E4E">
      <w:pPr>
        <w:rPr>
          <w:rFonts w:hint="eastAsia"/>
        </w:rPr>
      </w:pPr>
      <w:r>
        <w:rPr>
          <w:rFonts w:hint="default" w:ascii="宋体" w:hAnsi="宋体" w:eastAsia="宋体" w:cs="宋体"/>
          <w:kern w:val="2"/>
          <w:sz w:val="24"/>
          <w:szCs w:val="24"/>
          <w:lang w:val="en-US" w:eastAsia="zh-CN" w:bidi="ar-SA"/>
        </w:rPr>
        <w:t>这套资本网络在制度设计上将国家的战略导向与市场的资源配置能力结合在一起。母基金层面由国有资本主导方向，覆盖全产业链的关键节点；子基金层面引入启明、蓝驰、中科创星等头部市场化机构，为创新企业提供专业化的投后服务。这种结构既保证了投资方向与国家战略的适配性，又避免了纯国有资本运营中常见的行政化低效问题。</w:t>
      </w:r>
    </w:p>
    <w:p w14:paraId="6046508F">
      <w:pPr>
        <w:rPr>
          <w:rFonts w:hint="eastAsia"/>
        </w:rPr>
      </w:pPr>
    </w:p>
    <w:p w14:paraId="0F8DEFF6">
      <w:pPr>
        <w:rPr>
          <w:rFonts w:hint="eastAsia"/>
        </w:rPr>
      </w:pPr>
      <w:r>
        <w:rPr>
          <w:rFonts w:hint="eastAsia"/>
        </w:rPr>
        <w:t xml:space="preserve"> 4.3 “模塑申城”与“百团百项”：工程化推进的治理范式</w:t>
      </w:r>
    </w:p>
    <w:p w14:paraId="4D318D5D">
      <w:pPr>
        <w:rPr>
          <w:rFonts w:hint="eastAsia"/>
        </w:rPr>
      </w:pPr>
    </w:p>
    <w:p w14:paraId="405D5F7A">
      <w:pPr>
        <w:rPr>
          <w:rFonts w:hint="eastAsia"/>
        </w:rPr>
      </w:pPr>
      <w:r>
        <w:rPr>
          <w:rFonts w:hint="default" w:ascii="宋体" w:hAnsi="宋体" w:eastAsia="宋体" w:cs="宋体"/>
          <w:kern w:val="2"/>
          <w:sz w:val="24"/>
          <w:szCs w:val="24"/>
          <w:lang w:val="en-US" w:eastAsia="zh-CN" w:bidi="ar-SA"/>
        </w:rPr>
        <w:t>上海的AI政策工具展现出鲜明的“工程化”治理风格。“模塑申城”工程通过算力券、模型券、语料券等财政工具降低AI应用的成本门槛。这些补贴不是直接发放给企业，而是采用“先使用、后补贴”的票据化设计——企业必须先实际使用算力、调用模型或采购语料，再凭票据按季度申请补贴。这种设计使得财政工具同时具备了产业引导功能：补贴的审批节奏和导向可以直接调控市场行为。“百团百项”工程则聚焦人工智能赋能千行百业和科学智能两大方向，以项目制的方式组织实施。</w:t>
      </w:r>
    </w:p>
    <w:p w14:paraId="749DEF50">
      <w:pPr>
        <w:rPr>
          <w:rFonts w:hint="eastAsia"/>
        </w:rPr>
      </w:pPr>
    </w:p>
    <w:p w14:paraId="279E4E0E">
      <w:pPr>
        <w:rPr>
          <w:rFonts w:hint="eastAsia"/>
        </w:rPr>
      </w:pPr>
      <w:r>
        <w:rPr>
          <w:rFonts w:hint="default" w:ascii="宋体" w:hAnsi="宋体" w:eastAsia="宋体" w:cs="宋体"/>
          <w:kern w:val="2"/>
          <w:sz w:val="24"/>
          <w:szCs w:val="24"/>
          <w:lang w:val="en-US" w:eastAsia="zh-CN" w:bidi="ar-SA"/>
        </w:rPr>
        <w:t>工程化治理的优点在于可控、可评估、可复制。设定明确的量化目标、配置标准化的政策工具、按照季度节点推进——这套方法在推动成熟技术的规模化部署时效率极高。但它的局限同样明显：工程化天然偏好可量化的产出（模型数量、应用数量、普及率），而创新中最关键也最不可替代的部分——原创灵感的偶发、失败尝试的积累、边缘路径的突破——恰恰是最不可量化、最难以纳入工程化KPI的。当城市的AI竞争被转化为指标竞赛时，“完成指标”可能在无意中替代“探索未知”成为实际的行动驱动力。</w:t>
      </w:r>
    </w:p>
    <w:p w14:paraId="6C2E23CE">
      <w:pPr>
        <w:rPr>
          <w:rFonts w:hint="eastAsia"/>
        </w:rPr>
      </w:pPr>
    </w:p>
    <w:p w14:paraId="08FFE924">
      <w:pPr>
        <w:rPr>
          <w:rFonts w:hint="eastAsia"/>
        </w:rPr>
      </w:pPr>
    </w:p>
    <w:p w14:paraId="19CCB91B">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5 “集中力量办大事”的优势与隐忧</w:t>
      </w:r>
    </w:p>
    <w:p w14:paraId="7B0BC531">
      <w:pPr>
        <w:rPr>
          <w:rFonts w:hint="eastAsia"/>
        </w:rPr>
      </w:pPr>
    </w:p>
    <w:p w14:paraId="77ACBEA8">
      <w:pPr>
        <w:spacing w:before="240" w:beforeAutospacing="0" w:after="120" w:afterAutospacing="0"/>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 xml:space="preserve"> 5.1 制度优势：速度、规模与方向</w:t>
      </w:r>
    </w:p>
    <w:p w14:paraId="5705D29C">
      <w:pPr>
        <w:rPr>
          <w:rFonts w:hint="eastAsia"/>
        </w:rPr>
      </w:pPr>
    </w:p>
    <w:p w14:paraId="58BF900E">
      <w:pPr>
        <w:rPr>
          <w:rFonts w:hint="eastAsia"/>
        </w:rPr>
      </w:pPr>
      <w:r>
        <w:rPr>
          <w:rFonts w:hint="default" w:ascii="宋体" w:hAnsi="宋体" w:eastAsia="宋体" w:cs="宋体"/>
          <w:kern w:val="2"/>
          <w:sz w:val="24"/>
          <w:szCs w:val="24"/>
          <w:lang w:val="en-US" w:eastAsia="zh-CN" w:bidi="ar-SA"/>
        </w:rPr>
        <w:t>“集中力量办大事”模式在AI领域展现出三个层面的制度优势。</w:t>
      </w:r>
    </w:p>
    <w:p w14:paraId="2D88A8D6">
      <w:pPr>
        <w:rPr>
          <w:rFonts w:hint="eastAsia"/>
        </w:rPr>
      </w:pPr>
    </w:p>
    <w:p w14:paraId="4E5EB876">
      <w:pPr>
        <w:rPr>
          <w:rFonts w:hint="eastAsia"/>
        </w:rPr>
      </w:pPr>
      <w:r>
        <w:rPr>
          <w:rFonts w:hint="default" w:ascii="宋体" w:hAnsi="宋体" w:eastAsia="宋体" w:cs="宋体"/>
          <w:kern w:val="2"/>
          <w:sz w:val="24"/>
          <w:szCs w:val="24"/>
          <w:lang w:val="en-US" w:eastAsia="zh-CN" w:bidi="ar-SA"/>
        </w:rPr>
        <w:t>速度优势是显性的。从中央部署到地方响应几乎没有时间延迟，决策与执行在时间轴上高度压缩。AI行业的竞争周期以“周”乃至“天”计算，这种快速传导机制赋予了政策驱动型创新体系一种独特的比较优势——当一个新兴赛道被识别，国家可以通过行政动员在极短时间内完成资源配置和市场启动。</w:t>
      </w:r>
    </w:p>
    <w:p w14:paraId="54ADD049">
      <w:pPr>
        <w:rPr>
          <w:rFonts w:hint="eastAsia"/>
        </w:rPr>
      </w:pPr>
    </w:p>
    <w:p w14:paraId="0F6ED4CE">
      <w:pPr>
        <w:rPr>
          <w:rFonts w:hint="eastAsia"/>
        </w:rPr>
      </w:pPr>
      <w:r>
        <w:rPr>
          <w:rFonts w:hint="eastAsia"/>
        </w:rPr>
        <w:t>规模优势是结构性的。16万P的智算规模、50个场景的集中开放、人工智能母基金与多个专项基金的协同矩阵——这些资源的集中配置能力是任何单一企业乃至企业联盟都难以企及的。尤其在大模型训练日益进入“万卡集群”门槛的背景下，算力的集中调度而非分散拥有，正成为决定AI竞争力的关键变量。上海的实践表明，政府作为“超级协调者”可以在算力互联互通、场景资源聚合、产业链上下游对接等方面实现市场无法自发实现的效果。</w:t>
      </w:r>
    </w:p>
    <w:p w14:paraId="7555D2C4">
      <w:pPr>
        <w:rPr>
          <w:rFonts w:hint="eastAsia"/>
        </w:rPr>
      </w:pPr>
    </w:p>
    <w:p w14:paraId="723F702C">
      <w:pPr>
        <w:rPr>
          <w:rFonts w:hint="eastAsia"/>
        </w:rPr>
      </w:pPr>
      <w:r>
        <w:rPr>
          <w:rFonts w:hint="default" w:ascii="宋体" w:hAnsi="宋体" w:eastAsia="宋体" w:cs="宋体"/>
          <w:kern w:val="2"/>
          <w:sz w:val="24"/>
          <w:szCs w:val="24"/>
          <w:lang w:val="en-US" w:eastAsia="zh-CN" w:bidi="ar-SA"/>
        </w:rPr>
        <w:t>方向优势是深层的。通过“六张网”将AI纳入国家基础设施、通过国企场景开放引导技术方向、通过“国芯国模国云”体系锁定自主可控目标，政策可以引导资源流向长期性和基础性的攻关领域，而不是被短期的市场风口牵引。这种方向引导对于实现技术主权和产业安全目标具有不可替代的作用。</w:t>
      </w:r>
    </w:p>
    <w:p w14:paraId="635B723B">
      <w:pPr>
        <w:rPr>
          <w:rFonts w:hint="eastAsia"/>
        </w:rPr>
      </w:pPr>
    </w:p>
    <w:p w14:paraId="3062E628">
      <w:pPr>
        <w:spacing w:before="240" w:beforeAutospacing="0" w:after="120" w:afterAutospacing="0"/>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 xml:space="preserve"> 5.2 结构性隐忧：四个需要警惕的问题</w:t>
      </w:r>
    </w:p>
    <w:p w14:paraId="701C7EAC">
      <w:pPr>
        <w:rPr>
          <w:rFonts w:hint="eastAsia"/>
        </w:rPr>
      </w:pPr>
    </w:p>
    <w:p w14:paraId="56DCF631">
      <w:pPr>
        <w:rPr>
          <w:rFonts w:hint="eastAsia"/>
        </w:rPr>
      </w:pPr>
      <w:r>
        <w:rPr>
          <w:rFonts w:hint="default" w:ascii="宋体" w:hAnsi="宋体" w:eastAsia="宋体" w:cs="宋体"/>
          <w:kern w:val="2"/>
          <w:sz w:val="24"/>
          <w:szCs w:val="24"/>
          <w:lang w:val="en-US" w:eastAsia="zh-CN" w:bidi="ar-SA"/>
        </w:rPr>
        <w:t>然而，这一模式也存在几个需要审慎面对的结构性风险。</w:t>
      </w:r>
    </w:p>
    <w:p w14:paraId="417617C9">
      <w:pPr>
        <w:rPr>
          <w:rFonts w:hint="eastAsia"/>
        </w:rPr>
      </w:pPr>
    </w:p>
    <w:p w14:paraId="428DCE2B">
      <w:pPr>
        <w:rPr>
          <w:rFonts w:hint="eastAsia"/>
        </w:rPr>
      </w:pPr>
      <w:r>
        <w:rPr>
          <w:rFonts w:hint="default" w:ascii="宋体" w:hAnsi="宋体" w:eastAsia="宋体" w:cs="宋体"/>
          <w:kern w:val="2"/>
          <w:sz w:val="24"/>
          <w:szCs w:val="24"/>
          <w:lang w:val="en-US" w:eastAsia="zh-CN" w:bidi="ar-SA"/>
        </w:rPr>
        <w:t>第一，赛马机制下的重复建设风险。当中央释放明确的政策信号之后，上海“快上加快”，其他城市也必然跟进。如果各地都在建设智算中心、都在开放场景、都在设立AI基金，而缺乏有效的区域协调和分工机制，就有可能导致重复投资和资源浪费。上海的16万P智算规模约占全国的8%，这个比例本身说明了算力的高度集中，但不同城市的算力池之间是否能够实现互联互通和动态调度，才是决定全国算力利用效率的关键。如果各自为政，各地的“适度超前”加总起来就可能演变为系统性的过度建设。</w:t>
      </w:r>
    </w:p>
    <w:p w14:paraId="626E3733">
      <w:pPr>
        <w:rPr>
          <w:rFonts w:hint="eastAsia"/>
        </w:rPr>
      </w:pPr>
    </w:p>
    <w:p w14:paraId="4B2036B1">
      <w:pPr>
        <w:rPr>
          <w:rFonts w:hint="eastAsia"/>
        </w:rPr>
      </w:pPr>
      <w:r>
        <w:rPr>
          <w:rFonts w:hint="default" w:ascii="宋体" w:hAnsi="宋体" w:eastAsia="宋体" w:cs="宋体"/>
          <w:kern w:val="2"/>
          <w:sz w:val="24"/>
          <w:szCs w:val="24"/>
          <w:lang w:val="en-US" w:eastAsia="zh-CN" w:bidi="ar-SA"/>
        </w:rPr>
        <w:t>第二，可量化KPI与原始创新之间的张力。10万台机器人、80%普及率、50个示范应用——这些指标倾向于鼓励“已有成熟技术的规模化部署”，而非“突破性新路径的探索”。当地方政府之间的AI竞争被简化为指标竞赛时，“完成数字”可能替代“探索未知”成为实际的工作重心。而创新史上那些最重要的突破——从深度学习本身到Transformer架构——恰恰不是在KPI驱动下完成的，而是在对未知问题的长期自由探索中涌现的。如何在工程化推进的同时，为那些不可量化、不可计划、不可预期的前沿探索保留制度空间，是一个尚未被充分回答的问题。</w:t>
      </w:r>
    </w:p>
    <w:p w14:paraId="3068E674">
      <w:pPr>
        <w:rPr>
          <w:rFonts w:hint="eastAsia"/>
        </w:rPr>
      </w:pPr>
    </w:p>
    <w:p w14:paraId="64879072">
      <w:pPr>
        <w:rPr>
          <w:rFonts w:hint="eastAsia"/>
        </w:rPr>
      </w:pPr>
      <w:r>
        <w:rPr>
          <w:rFonts w:hint="default" w:ascii="宋体" w:hAnsi="宋体" w:eastAsia="宋体" w:cs="宋体"/>
          <w:kern w:val="2"/>
          <w:sz w:val="24"/>
          <w:szCs w:val="24"/>
          <w:lang w:val="en-US" w:eastAsia="zh-CN" w:bidi="ar-SA"/>
        </w:rPr>
        <w:t>第三，“快上加快”与安全治理之间的节奏脱节。国家发改委正在开展AI立法研究，而上海的AI应用落地已经以“快上加快”的节奏推进——机器人进入了执法场景，具身智能走进了工厂车间，AI大模型开始涉足金融风控和交通调度等敏感领域。这些先行先试发生在明确的法规边界被划定之前。诚然，试点本身就具有为立法探路的功能，但试点的容错边界——什么样的后果是可接受的，什么样的风险是不可容忍的——在制度上仍不够清晰。当产业推进的速度远远快于法律和伦理框架建构的速度时，“先上车后买票”就可能从临时的制度策略演变为长期的制度惯性。</w:t>
      </w:r>
    </w:p>
    <w:p w14:paraId="3B973DF7">
      <w:pPr>
        <w:rPr>
          <w:rFonts w:hint="eastAsia"/>
        </w:rPr>
      </w:pPr>
    </w:p>
    <w:p w14:paraId="775625D9">
      <w:pPr>
        <w:rPr>
          <w:rFonts w:hint="eastAsia"/>
        </w:rPr>
      </w:pPr>
      <w:r>
        <w:rPr>
          <w:rFonts w:hint="default" w:ascii="宋体" w:hAnsi="宋体" w:eastAsia="宋体" w:cs="宋体"/>
          <w:kern w:val="2"/>
          <w:sz w:val="24"/>
          <w:szCs w:val="24"/>
          <w:lang w:val="en-US" w:eastAsia="zh-CN" w:bidi="ar-SA"/>
        </w:rPr>
        <w:t>第四，场景开放的权力集中隐忧。国企开放50个核心场景，为AI企业提供了宝贵的验证机会，这是值得肯定的制度创新。但与此同时，这也意味着创新者能否进入核心应用场景，在很大程度上取决于少数大型国企的决策。场景的“开放”与“收回”权力高度集中，如果场景开放政策因安全或竞争等因素而收缩，依赖这些场景的AI企业将面临系统性风险。如何在开放共享与公平准入之间建立制度化的保障，是场景开放政策持续健康运行的前提。</w:t>
      </w:r>
    </w:p>
    <w:p w14:paraId="0930BDA1">
      <w:pPr>
        <w:rPr>
          <w:rFonts w:hint="eastAsia"/>
        </w:rPr>
      </w:pPr>
    </w:p>
    <w:p w14:paraId="2B0055B9">
      <w:pPr>
        <w:rPr>
          <w:rFonts w:hint="eastAsia"/>
        </w:rPr>
      </w:pPr>
    </w:p>
    <w:p w14:paraId="45E29999">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6 结论：在“快”与“稳”之间寻找制度的平衡</w:t>
      </w:r>
    </w:p>
    <w:p w14:paraId="59BF5290">
      <w:pPr>
        <w:rPr>
          <w:rFonts w:hint="eastAsia"/>
        </w:rPr>
      </w:pPr>
    </w:p>
    <w:p w14:paraId="5DFD63F8">
      <w:pPr>
        <w:rPr>
          <w:rFonts w:hint="eastAsia"/>
        </w:rPr>
      </w:pPr>
      <w:r>
        <w:rPr>
          <w:rFonts w:hint="default" w:ascii="宋体" w:hAnsi="宋体" w:eastAsia="宋体" w:cs="宋体"/>
          <w:kern w:val="2"/>
          <w:sz w:val="24"/>
          <w:szCs w:val="24"/>
          <w:lang w:val="en-US" w:eastAsia="zh-CN" w:bidi="ar-SA"/>
        </w:rPr>
        <w:t>中国的AI“星际之门”不是某个具体的工程项目，而是一种以国家意志为引擎、央地协同为传动、场景开放为练兵场、工程化推进为操作系统的治理模式。上海“快上加快”的实践是这一模式最生动、最集中的展现。它证明了“集中力量办大事”在AI领域具有真实而非虚设的竞争力——在算力建设上实现规模跃升，在产业动员上实现快速部署，在核心技术攻关上实现方向聚焦。</w:t>
      </w:r>
    </w:p>
    <w:p w14:paraId="217AF575">
      <w:pPr>
        <w:rPr>
          <w:rFonts w:hint="eastAsia"/>
        </w:rPr>
      </w:pPr>
    </w:p>
    <w:p w14:paraId="350D844E">
      <w:pPr>
        <w:rPr>
          <w:rFonts w:hint="eastAsia"/>
        </w:rPr>
      </w:pPr>
      <w:r>
        <w:rPr>
          <w:rFonts w:hint="default" w:ascii="宋体" w:hAnsi="宋体" w:eastAsia="宋体" w:cs="宋体"/>
          <w:kern w:val="2"/>
          <w:sz w:val="24"/>
          <w:szCs w:val="24"/>
          <w:lang w:val="en-US" w:eastAsia="zh-CN" w:bidi="ar-SA"/>
        </w:rPr>
        <w:t>然而，“快上加快”本身也包含着自身可能成为问题的风险——当速度和规模成为压倒性的优先目标，那些与之天然存在张力的价值——原创探索的自由、安全治理的审慎、市场自发的多样性、公共资源的公平分配——就可能被系统地置于次要位置。这不是执行层面的技术性偏差，而是模式本身的内生倾向。</w:t>
      </w:r>
    </w:p>
    <w:p w14:paraId="71636595">
      <w:pPr>
        <w:rPr>
          <w:rFonts w:hint="eastAsia"/>
        </w:rPr>
      </w:pPr>
    </w:p>
    <w:p w14:paraId="721AF57C">
      <w:pPr>
        <w:rPr>
          <w:rFonts w:hint="eastAsia"/>
        </w:rPr>
      </w:pPr>
      <w:r>
        <w:rPr>
          <w:rFonts w:hint="default" w:ascii="宋体" w:hAnsi="宋体" w:eastAsia="宋体" w:cs="宋体"/>
          <w:kern w:val="2"/>
          <w:sz w:val="24"/>
          <w:szCs w:val="24"/>
          <w:lang w:val="en-US" w:eastAsia="zh-CN" w:bidi="ar-SA"/>
        </w:rPr>
        <w:t>因此，中国AI治理的未来课题不是要不要“集中力量办大事”——这个问题的答案已经被实践所证明——而是如何在保持速度优势的同时，建立一套能够平衡快与稳、集中与分散、工程化推进与自由探索的制度体系。具体而言：需要加快AI立法进程，让“快上加快”尽早走上法治化的轨道，为试点划定清晰的容错边界；需要建立算力基础设施的区域协调机制，防止“适度超前”在地方竞逐中变为系统性的过度投资；需要在工程化的KPI体系之外，为那些不可量化但可能具有颠覆性意义的前沿探索保留制度性空间；也需要将场景开放从国企的“自愿行为”升级为制度化的市场准入规则，用程序公平保障创新者平等参与的权利。</w:t>
      </w:r>
    </w:p>
    <w:p w14:paraId="69B72E5E">
      <w:pPr>
        <w:rPr>
          <w:rFonts w:hint="eastAsia"/>
        </w:rPr>
      </w:pPr>
    </w:p>
    <w:p w14:paraId="2EEEBE0F">
      <w:pPr>
        <w:rPr>
          <w:rFonts w:hint="eastAsia"/>
        </w:rPr>
      </w:pPr>
      <w:r>
        <w:rPr>
          <w:rFonts w:hint="default" w:ascii="宋体" w:hAnsi="宋体" w:eastAsia="宋体" w:cs="宋体"/>
          <w:kern w:val="2"/>
          <w:sz w:val="24"/>
          <w:szCs w:val="24"/>
          <w:lang w:val="en-US" w:eastAsia="zh-CN" w:bidi="ar-SA"/>
        </w:rPr>
        <w:t>上海是中国AI“星际之门”最闪亮的一扇窗。但一扇真正通向未来的门，不仅需要能够快速打开，也需要知道什么时候应该保持敞开，什么时候需要设置门槛，以及——谁有权力做这个决定。</w:t>
      </w:r>
    </w:p>
    <w:p w14:paraId="1C4DB5AB">
      <w:pPr>
        <w:rPr>
          <w:rFonts w:hint="eastAsia"/>
        </w:rPr>
      </w:pPr>
    </w:p>
    <w:p w14:paraId="338234A0">
      <w:pPr>
        <w:rPr>
          <w:rFonts w:hint="eastAsia"/>
        </w:rPr>
      </w:pPr>
    </w:p>
    <w:p w14:paraId="74CA8734">
      <w:pPr>
        <w:spacing w:before="240" w:beforeAutospacing="0" w:after="120" w:afterAutospacing="0"/>
        <w:jc w:val="cente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4"/>
          <w:szCs w:val="24"/>
          <w:lang w:val="en-US" w:eastAsia="zh-CN" w:bidi="ar-SA"/>
        </w:rPr>
        <w:t xml:space="preserve"> 参考文献</w:t>
      </w:r>
    </w:p>
    <w:p w14:paraId="560E00D4">
      <w:pPr>
        <w:rPr>
          <w:rFonts w:hint="eastAsia"/>
        </w:rPr>
      </w:pPr>
    </w:p>
    <w:p w14:paraId="4280272F">
      <w:pPr>
        <w:rPr>
          <w:rFonts w:hint="eastAsia"/>
        </w:rPr>
      </w:pPr>
      <w:r>
        <w:rPr>
          <w:rFonts w:hint="default" w:ascii="宋体" w:hAnsi="宋体" w:eastAsia="宋体" w:cs="宋体"/>
          <w:kern w:val="2"/>
          <w:sz w:val="21"/>
          <w:szCs w:val="24"/>
          <w:lang w:val="en-US" w:eastAsia="zh-CN" w:bidi="ar-SA"/>
        </w:rPr>
        <w:t>[1] 国家发展改革委. 2026年5月份月度新闻发布会[EB/OL]. 2026-05-22.</w:t>
      </w:r>
    </w:p>
    <w:p w14:paraId="7027FF8B">
      <w:pPr>
        <w:rPr>
          <w:rFonts w:hint="eastAsia"/>
        </w:rPr>
      </w:pPr>
    </w:p>
    <w:p w14:paraId="65110F09">
      <w:pPr>
        <w:rPr>
          <w:rFonts w:hint="eastAsia"/>
        </w:rPr>
      </w:pPr>
      <w:r>
        <w:rPr>
          <w:rFonts w:hint="default" w:ascii="宋体" w:hAnsi="宋体" w:eastAsia="宋体" w:cs="宋体"/>
          <w:kern w:val="2"/>
          <w:sz w:val="21"/>
          <w:szCs w:val="24"/>
          <w:lang w:val="en-US" w:eastAsia="zh-CN" w:bidi="ar-SA"/>
        </w:rPr>
        <w:t>[2] 文汇报/上观新闻. 闻令而动，上海推动AI落地“快上加快”[N]. 2026-05-23.</w:t>
      </w:r>
    </w:p>
    <w:p w14:paraId="284435B0">
      <w:pPr>
        <w:rPr>
          <w:rFonts w:hint="eastAsia"/>
        </w:rPr>
      </w:pPr>
    </w:p>
    <w:p w14:paraId="0342BDA6">
      <w:pPr>
        <w:rPr>
          <w:rFonts w:hint="eastAsia"/>
        </w:rPr>
      </w:pPr>
      <w:r>
        <w:rPr>
          <w:rFonts w:hint="default" w:ascii="宋体" w:hAnsi="宋体" w:eastAsia="宋体" w:cs="宋体"/>
          <w:kern w:val="2"/>
          <w:sz w:val="21"/>
          <w:szCs w:val="24"/>
          <w:lang w:val="en-US" w:eastAsia="zh-CN" w:bidi="ar-SA"/>
        </w:rPr>
        <w:t>[3] 上海市经济和信息化委员会. 2026年度“模塑申城”工程补贴申报通知[Z]. 2026-04-30.</w:t>
      </w:r>
    </w:p>
    <w:p w14:paraId="24335743">
      <w:pPr>
        <w:rPr>
          <w:rFonts w:hint="eastAsia"/>
        </w:rPr>
      </w:pPr>
    </w:p>
    <w:p w14:paraId="6A91CA93">
      <w:pPr>
        <w:rPr>
          <w:rFonts w:hint="eastAsia"/>
        </w:rPr>
      </w:pPr>
      <w:r>
        <w:rPr>
          <w:rFonts w:hint="default" w:ascii="宋体" w:hAnsi="宋体" w:eastAsia="宋体" w:cs="宋体"/>
          <w:kern w:val="2"/>
          <w:sz w:val="21"/>
          <w:szCs w:val="24"/>
          <w:lang w:val="en-US" w:eastAsia="zh-CN" w:bidi="ar-SA"/>
        </w:rPr>
        <w:t>[4] 上海市经济和信息化委员会. 2026年度“人工智能+”及科学智能“百团百项”项目申报通知[Z]. 2026-05-09.</w:t>
      </w:r>
    </w:p>
    <w:p w14:paraId="11F99B7C">
      <w:pPr>
        <w:rPr>
          <w:rFonts w:hint="eastAsia"/>
        </w:rPr>
      </w:pPr>
    </w:p>
    <w:p w14:paraId="6F8C01AB">
      <w:pPr>
        <w:rPr>
          <w:rFonts w:hint="eastAsia"/>
        </w:rPr>
      </w:pPr>
      <w:r>
        <w:rPr>
          <w:rFonts w:hint="default" w:ascii="宋体" w:hAnsi="宋体" w:eastAsia="宋体" w:cs="宋体"/>
          <w:kern w:val="2"/>
          <w:sz w:val="21"/>
          <w:szCs w:val="24"/>
          <w:lang w:val="en-US" w:eastAsia="zh-CN" w:bidi="ar-SA"/>
        </w:rPr>
        <w:t>[5] 上海市人民政府. 8家上海国企开放50道场景赛题[EB/OL]. 2026-03-29.</w:t>
      </w:r>
    </w:p>
    <w:p w14:paraId="09A89E42">
      <w:pPr>
        <w:rPr>
          <w:rFonts w:hint="eastAsia"/>
        </w:rPr>
      </w:pPr>
    </w:p>
    <w:p w14:paraId="14D80D18">
      <w:pPr>
        <w:rPr>
          <w:rFonts w:hint="eastAsia"/>
        </w:rPr>
      </w:pPr>
      <w:r>
        <w:rPr>
          <w:rFonts w:hint="default" w:ascii="宋体" w:hAnsi="宋体" w:eastAsia="宋体" w:cs="宋体"/>
          <w:kern w:val="2"/>
          <w:sz w:val="21"/>
          <w:szCs w:val="24"/>
          <w:lang w:val="en-US" w:eastAsia="zh-CN" w:bidi="ar-SA"/>
        </w:rPr>
        <w:t>[6] 人民网上海. 上海智算规模突破12万P，适度超前建设智算基础设施[EB/OL]. 2026-01-27.</w:t>
      </w:r>
    </w:p>
    <w:p w14:paraId="61051407">
      <w:pPr>
        <w:rPr>
          <w:rFonts w:hint="eastAsia"/>
        </w:rPr>
      </w:pPr>
    </w:p>
    <w:p w14:paraId="13FF7A5A">
      <w:pPr>
        <w:rPr>
          <w:rFonts w:hint="eastAsia"/>
        </w:rPr>
      </w:pPr>
      <w:r>
        <w:rPr>
          <w:rFonts w:hint="default" w:ascii="宋体" w:hAnsi="宋体" w:eastAsia="宋体" w:cs="宋体"/>
          <w:kern w:val="2"/>
          <w:sz w:val="21"/>
          <w:szCs w:val="24"/>
          <w:lang w:val="en-US" w:eastAsia="zh-CN" w:bidi="ar-SA"/>
        </w:rPr>
        <w:t>[7] 上海金融. 上海国投启动科学智能（AI4S）专项基金[EB/OL]. 2026-03-31.</w:t>
      </w:r>
    </w:p>
    <w:p w14:paraId="6D3CF720">
      <w:pPr>
        <w:rPr>
          <w:rFonts w:hint="eastAsia"/>
        </w:rPr>
      </w:pPr>
    </w:p>
    <w:p w14:paraId="55E6CC43">
      <w:pPr>
        <w:rPr>
          <w:rFonts w:hint="eastAsia"/>
        </w:rPr>
      </w:pPr>
      <w:r>
        <w:rPr>
          <w:rFonts w:hint="default" w:ascii="宋体" w:hAnsi="宋体" w:eastAsia="宋体" w:cs="宋体"/>
          <w:kern w:val="2"/>
          <w:sz w:val="21"/>
          <w:szCs w:val="24"/>
          <w:lang w:val="en-US" w:eastAsia="zh-CN" w:bidi="ar-SA"/>
        </w:rPr>
        <w:t>[8] 国家发展改革委. 郑栅洁主任赴上海人工智能实验室调研[EB/OL]. 2026-05-09.</w:t>
      </w:r>
    </w:p>
    <w:p w14:paraId="2D4B82C3">
      <w:pPr>
        <w:rPr>
          <w:rFonts w:hint="eastAsia"/>
        </w:rPr>
      </w:pPr>
    </w:p>
    <w:p w14:paraId="36635BEB">
      <w:pPr>
        <w:rPr>
          <w:rFonts w:hint="eastAsia"/>
        </w:rPr>
      </w:pPr>
      <w:r>
        <w:rPr>
          <w:rFonts w:hint="default" w:ascii="宋体" w:hAnsi="宋体" w:eastAsia="宋体" w:cs="宋体"/>
          <w:kern w:val="2"/>
          <w:sz w:val="21"/>
          <w:szCs w:val="24"/>
          <w:lang w:val="en-US" w:eastAsia="zh-CN" w:bidi="ar-SA"/>
        </w:rPr>
        <w:t>[9] 解放日报. 全国首例具身智能机器人保险理赔落地上海[N]. 2026-05-17.</w:t>
      </w:r>
    </w:p>
    <w:p w14:paraId="73947068">
      <w:pPr>
        <w:rPr>
          <w:rFonts w:hint="eastAsia"/>
        </w:rPr>
      </w:pPr>
    </w:p>
    <w:p w14:paraId="0E7C201E">
      <w:r>
        <w:rPr>
          <w:rFonts w:hint="default" w:ascii="宋体" w:hAnsi="宋体" w:eastAsia="宋体" w:cs="宋体"/>
          <w:kern w:val="2"/>
          <w:sz w:val="21"/>
          <w:szCs w:val="24"/>
          <w:lang w:val="en-US" w:eastAsia="zh-CN" w:bidi="ar-SA"/>
        </w:rPr>
        <w:t>[10] 浦东城管综合执法局. 全国首次人机协同城管执法试点[EB/OL]. 2026-05-20.</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DC6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2026-05-23T14:37:00Z</dcterms:created>
  <dc:creator>永远健康</dc:creator>
  <cp:lastModifiedBy>WPS_1719835985</cp:lastModifiedBy>
  <dcterms:modified xsi:type="dcterms:W3CDTF">2026-05-23T14:40:40Z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9A6FEB33ABB54073AA631B37E89E3FE4_12</vt:lpwstr>
  </property>
</Properties>
</file>