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C5270">
      <w:pPr>
        <w:spacing w:before="1441" w:beforeAutospacing="0" w:after="1441" w:afterAutospacing="0"/>
        <w:ind w:left="1418" w:leftChars="0" w:right="1418" w:rightChars="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从“加快建设”到“纵深推进”：全国统一大市场的制度进化</w:t>
      </w:r>
    </w:p>
    <w:p w14:paraId="028F5772">
      <w:pPr>
        <w:rPr>
          <w:rFonts w:hint="eastAsia"/>
        </w:rPr>
      </w:pPr>
    </w:p>
    <w:p w14:paraId="18E2A0FA">
      <w:pPr>
        <w:jc w:val="center"/>
        <w:rPr>
          <w:rFonts w:asciiTheme="minorHAnsi" w:hAnsiTheme="minorHAnsi" w:eastAsiaTheme="minorEastAsia" w:cstheme="minorBidi"/>
          <w:kern w:val="2"/>
          <w:sz w:val="21"/>
          <w:szCs w:val="24"/>
          <w:lang w:val="en-US" w:eastAsia="zh-CN" w:bidi="ar-SA"/>
        </w:rPr>
      </w:pPr>
      <w:r>
        <w:rPr>
          <w:rFonts w:hint="default" w:ascii="楷体" w:hAnsi="楷体" w:eastAsia="楷体" w:cs="楷体"/>
          <w:kern w:val="2"/>
          <w:sz w:val="32"/>
          <w:szCs w:val="24"/>
          <w:lang w:val="en-US" w:eastAsia="zh-CN" w:bidi="ar-SA"/>
        </w:rPr>
        <w:t>AIGC使用声明</w:t>
      </w:r>
    </w:p>
    <w:p w14:paraId="46F5E73A">
      <w:pPr>
        <w:spacing w:line="360" w:lineRule="auto"/>
        <w:ind w:firstLine="480" w:firstLineChars="200"/>
        <w:rPr>
          <w:rFonts w:asciiTheme="minorHAnsi" w:hAnsiTheme="minorHAnsi" w:eastAsiaTheme="minorEastAsia" w:cstheme="minorBidi"/>
          <w:kern w:val="2"/>
          <w:sz w:val="21"/>
          <w:szCs w:val="24"/>
          <w:lang w:val="en-US" w:eastAsia="zh-CN" w:bidi="ar-SA"/>
        </w:rPr>
      </w:pPr>
      <w:r>
        <w:rPr>
          <w:rFonts w:hint="default" w:ascii="楷体" w:hAnsi="楷体" w:eastAsia="楷体" w:cs="楷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6F0437E4">
      <w:pPr>
        <w:rPr>
          <w:rFonts w:hint="eastAsia"/>
        </w:rPr>
      </w:pPr>
    </w:p>
    <w:p w14:paraId="0EB84542">
      <w:pPr>
        <w:rPr>
          <w:rFonts w:hint="eastAsia"/>
        </w:rPr>
      </w:pPr>
    </w:p>
    <w:p w14:paraId="17438859">
      <w:pPr>
        <w:rPr>
          <w:rFonts w:hint="eastAsia"/>
        </w:rPr>
      </w:pPr>
      <w:r>
        <w:rPr>
          <w:rFonts w:hint="eastAsia"/>
        </w:rPr>
        <w:t xml:space="preserve"> 摘要</w:t>
      </w:r>
    </w:p>
    <w:p w14:paraId="62886F5A">
      <w:pPr>
        <w:rPr>
          <w:rFonts w:hint="eastAsia"/>
        </w:rPr>
      </w:pPr>
    </w:p>
    <w:p w14:paraId="4537B254">
      <w:pPr>
        <w:spacing w:line="360" w:lineRule="auto"/>
        <w:ind w:firstLine="480" w:firstLineChars="200"/>
        <w:rPr>
          <w:rFonts w:asciiTheme="minorHAnsi" w:hAnsiTheme="minorHAnsi" w:eastAsiaTheme="minorEastAsia" w:cstheme="minorBidi"/>
          <w:kern w:val="2"/>
          <w:sz w:val="21"/>
          <w:szCs w:val="24"/>
          <w:lang w:val="en-US" w:eastAsia="zh-CN" w:bidi="ar-SA"/>
        </w:rPr>
      </w:pPr>
      <w:r>
        <w:rPr>
          <w:rFonts w:hint="default" w:ascii="楷体" w:hAnsi="楷体" w:eastAsia="楷体" w:cs="楷体"/>
          <w:kern w:val="2"/>
          <w:sz w:val="24"/>
          <w:szCs w:val="24"/>
          <w:lang w:val="en-US" w:eastAsia="zh-CN" w:bidi="ar-SA"/>
        </w:rPr>
        <w:t>2026年5月21日，国务院常务会议研究推进全国统一大市场建设，提出“三个纵深”——纵深推进制度建设、纵深推进市场设施高标准联通、纵深推进重点领域市场统一。从2022年《关于加快建设全国统一大市场的意见》出台时的“加快建设”，到本次会议的“纵深推进”，表述转换的背后，是全国统一大市场建设从“立柱架梁”迈向“积厚成势”的制度进化。本文梳理这一递进逻辑的三个维度：市场基础制度如何从“出台”走向“统一标准”，市场设施联通如何从“物理连接”走向“规则连接”，隐性壁垒的破除如何从“清理显性障碍”走向“触及潜规则”。在此基础上，本文论证统一大市场与新质生产力之间的深层制度互动——统一大市场通过将分散的区域性需求聚合为规模化的整体需求，为新质生产力的技术路线提供稳定的市场预期和方向牵引。结论指出，“纵深推进”的核心不在于推出新政策，而在于将已有制度从文本转化为实践、从原则细化为标准、从中央推动内化为地方自觉——这是制度建设的深水区，也是统一大市场能否真正建成的关键考验。</w:t>
      </w:r>
    </w:p>
    <w:p w14:paraId="44DDADEF">
      <w:pPr>
        <w:rPr>
          <w:rFonts w:hint="eastAsia"/>
        </w:rPr>
      </w:pPr>
    </w:p>
    <w:p w14:paraId="5F604E2B">
      <w:pPr>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关键词：全国统一大市场；纵深推进；制度建设；市场设施联通；隐性壁垒；新质生产力</w:t>
      </w:r>
    </w:p>
    <w:p w14:paraId="147E40EE">
      <w:pPr>
        <w:rPr>
          <w:rFonts w:hint="eastAsia"/>
        </w:rPr>
      </w:pPr>
    </w:p>
    <w:p w14:paraId="063AFFC7">
      <w:pPr>
        <w:rPr>
          <w:rFonts w:hint="eastAsia"/>
        </w:rPr>
      </w:pPr>
    </w:p>
    <w:p w14:paraId="3330FD7A">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1 引言：从“加快建设”到“纵深推进”</w:t>
      </w:r>
    </w:p>
    <w:p w14:paraId="3069E209">
      <w:pPr>
        <w:rPr>
          <w:rFonts w:hint="eastAsia"/>
        </w:rPr>
      </w:pPr>
    </w:p>
    <w:p w14:paraId="3AF9F42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21日，国务院总理李强主持召开国务院常务会议，研究推进全国统一大市场建设有关工作。新华社通稿的核心表述清晰有力：“要纵深推进相关制度建设”“要纵深推进市场设施高标准联通”“要纵深推进重点领域市场统一”。三个“纵深推进”，构成了本次会议最鲜明的政策信号。</w:t>
      </w:r>
    </w:p>
    <w:p w14:paraId="73BD943C">
      <w:pPr>
        <w:rPr>
          <w:rFonts w:hint="eastAsia"/>
        </w:rPr>
      </w:pPr>
    </w:p>
    <w:p w14:paraId="5BCE380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将时间轴拉长来看，这已是统一大市场建设进入第四个年头的制度演进。2022年4月，《中共中央 国务院关于加快建设全国统一大市场的意见》正式发布，彼时的政策基调是“加快建设”——强调统一大市场建设的战略紧迫性，搭建“五统一、一开放”的基础框架。此后数年，顶层设计持续完善，从“加快建设”到“纵深推进”的表述升级，标志着建设重心从制度供给端向制度执行端转移。正如中国社科院金融研究所王庆所言，四年建设实现了“从立柱架梁到积厚成势的阶段性跨越”。</w:t>
      </w:r>
    </w:p>
    <w:p w14:paraId="6DD94C17">
      <w:pPr>
        <w:rPr>
          <w:rFonts w:hint="eastAsia"/>
        </w:rPr>
      </w:pPr>
    </w:p>
    <w:p w14:paraId="68D7117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纵深推进”四个字究竟意味着什么？在字面意义上，它指示着空间维度上的向内延伸和向下扎根。在政策语境中，“纵深”至少包含三重含义：其一，从宏观制度框架深入到微观实施标准——不再满足于“有制度”，而要追求“制度统一”；其二，从物理基础设施的铺开深入到规则体系的对接——不再满足于“路通了”，而要追求“规则通了”；其三，从显性壁垒的清理深入到隐性壁垒的触碰——不再满足于“文件不设障碍”，而要追求“实践中没有潜规则”。</w:t>
      </w:r>
    </w:p>
    <w:p w14:paraId="26D59E97">
      <w:pPr>
        <w:rPr>
          <w:rFonts w:hint="eastAsia"/>
        </w:rPr>
      </w:pPr>
    </w:p>
    <w:p w14:paraId="43905B9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正是本文的核心判断：统一大市场建设的“纵深推进”，本质上是一场从“有法可依”到“有法必依”、从“物理联通”到“规则联通”、从“清理显性壁垒”到“破除隐性壁垒”的制度进化。它不是新政策对旧政策的替代，而是同一制度框架在实施深度上的结构性升级。下文将从制度、设施、壁垒三个维度展开论证，并探讨统一大市场与新质生产力之间的深层制度互动。</w:t>
      </w:r>
    </w:p>
    <w:p w14:paraId="07035878">
      <w:pPr>
        <w:rPr>
          <w:rFonts w:hint="eastAsia"/>
        </w:rPr>
      </w:pPr>
    </w:p>
    <w:p w14:paraId="0905A12F">
      <w:pPr>
        <w:rPr>
          <w:rFonts w:hint="eastAsia"/>
        </w:rPr>
      </w:pPr>
    </w:p>
    <w:p w14:paraId="3875E3B1">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三个“纵深”：制度进化的多重维度</w:t>
      </w:r>
    </w:p>
    <w:p w14:paraId="4390AE66">
      <w:pPr>
        <w:rPr>
          <w:rFonts w:hint="eastAsia"/>
        </w:rPr>
      </w:pPr>
    </w:p>
    <w:p w14:paraId="1D266777">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2.1 制度纵深：从“出台”到“统一”</w:t>
      </w:r>
    </w:p>
    <w:p w14:paraId="68AACD20">
      <w:pPr>
        <w:rPr>
          <w:rFonts w:hint="eastAsia"/>
        </w:rPr>
      </w:pPr>
    </w:p>
    <w:p w14:paraId="428B2A1B">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次会议的第一个“纵深”直指制度本身：“进一步完善产权保护、市场准入、公平竞争、社会信用、市场退出等制度，做到有章可循、有法可依。”这五大制度被列为一个完整的制度支柱群，其排列逻辑本身值得关注。</w:t>
      </w:r>
    </w:p>
    <w:p w14:paraId="69FC599C">
      <w:pPr>
        <w:rPr>
          <w:rFonts w:hint="eastAsia"/>
        </w:rPr>
      </w:pPr>
    </w:p>
    <w:p w14:paraId="7D6742A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产权保护是市场经济的基石。没有稳定的产权预期，市场主体就不会进行长期投资和技术积累。市场准入决定了“谁能进入市场”，其统一程度直接影响竞争公平性。公平竞争是统一大市场的核心运行规则。社会信用降低交易成本。市场退出机制则确保资源配置的动态效率——不能有效退出的市场，必然积累僵尸企业和沉淀资产，阻碍生产要素流向更高效率的领域。这五项制度从市场进入、运行、退出三个环节构成了一条完整的制度链条：进入有门槛但公平、运行有规则且透明、退出有通道而无障碍。</w:t>
      </w:r>
    </w:p>
    <w:p w14:paraId="45F15CBA">
      <w:pPr>
        <w:rPr>
          <w:rFonts w:hint="eastAsia"/>
        </w:rPr>
      </w:pPr>
    </w:p>
    <w:p w14:paraId="6CE137D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时间维度来看，这五大制度大多已有基础性法律法规作为支撑——《民法典》确立了产权保护的基本原则，《反垄断法》和《反不正当竞争法》搭建了公平竞争的规则框架，《市场主体登记管理条例》规范了市场准入。过去几年的建设已经解决了“有没有”的问题。但中央党校王伟教授指出，“过去一些领域存在规则不统一、制度不衔接等问题，导致市场分割和隐性壁垒难以根除”。“纵深推进”的着力点正在于此：从“有制度”走向“制度统一”。</w:t>
      </w:r>
    </w:p>
    <w:p w14:paraId="19B18E5A">
      <w:pPr>
        <w:rPr>
          <w:rFonts w:hint="eastAsia"/>
        </w:rPr>
      </w:pPr>
    </w:p>
    <w:p w14:paraId="3C523B7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以社会信用体系为例。各地先后建立了各自的信用信息平台，但平台之间数据格式不统一、评价标准不一致、失信惩戒措施参差不齐。一家企业在A省被列入经营异常名录，在B省的信用平台上可能毫无记录；同一种失信行为在不同地区面临截然不同的惩戒力度。这种制度性碎片化本身就是一种隐性的市场壁垒——企业跨区域经营时，面对的是一张由不同信用规则织成的“制度拼图”，合规成本因区域而异。</w:t>
      </w:r>
    </w:p>
    <w:p w14:paraId="3726411E">
      <w:pPr>
        <w:rPr>
          <w:rFonts w:hint="eastAsia"/>
        </w:rPr>
      </w:pPr>
    </w:p>
    <w:p w14:paraId="1C43C4D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纵深推进”意味着将这些已有制度从原则性规定细化为统一的操作标准。中国宏观经济研究院李红娟研究员的解读点明了这一转换的关键：“此次会议聚焦制度体系提质增效，明确纵深完善基础性制度规则，统一市场运行与监管执法标准、健全全链条闭环治理机制。”关键词是“统一标准”和“闭环机制”——前者解决跨区域规则的互认问题，后者解决制度执行的可追溯和可问责问题。</w:t>
      </w:r>
    </w:p>
    <w:p w14:paraId="3173A7C6">
      <w:pPr>
        <w:rPr>
          <w:rFonts w:hint="eastAsia"/>
        </w:rPr>
      </w:pPr>
    </w:p>
    <w:p w14:paraId="0BD9A581">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2.2 设施纵深：从“物理连接”到“规则连接”</w:t>
      </w:r>
    </w:p>
    <w:p w14:paraId="3BF584C4">
      <w:pPr>
        <w:rPr>
          <w:rFonts w:hint="eastAsia"/>
        </w:rPr>
      </w:pPr>
    </w:p>
    <w:p w14:paraId="4692E50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会议的第二个“纵深”指向基础设施：“纵深推进市场设施高标准联通，畅通经济循环，有效降低全社会物流成本。”</w:t>
      </w:r>
    </w:p>
    <w:p w14:paraId="55979E4D">
      <w:pPr>
        <w:rPr>
          <w:rFonts w:hint="eastAsia"/>
        </w:rPr>
      </w:pPr>
    </w:p>
    <w:p w14:paraId="776A629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表面上看，这是一个基础设施建设议题。中国已拥有全球最发达的高速铁路网、高速公路网和港口体系，硬件基础设施的“有没有”问题大体已解决。但“高标准联通”的提法暗示着一个更深的层次：设施之间的连接标准和运行规则是否统一？一个集装箱从重庆通过西部陆海新通道运往新加坡，要经过铁路、港口、海关等多个节点的交接。如果每个节点的单证标准、数据格式、检验检疫要求都不统一，物理上的“连通”就只是通道，而非真正意义上的“联通”。每一次交接都是时间成本和制度性交易成本的累加。</w:t>
      </w:r>
    </w:p>
    <w:p w14:paraId="347A4618">
      <w:pPr>
        <w:rPr>
          <w:rFonts w:hint="eastAsia"/>
        </w:rPr>
      </w:pPr>
    </w:p>
    <w:p w14:paraId="21B3D27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有效降低全社会物流成本”这个具体目标，恰恰揭示了物理连通与制度联通的落差。中国的物流总费用占GDP的比重长期高于发达国家水平。硬件基础设施——高速公路里程、铁路货运能力、港口吞吐量——是中国的优势，但物流成本依然偏高，其根源正在于不同运输方式之间、不同行政区划之间、不同信息系统之间的衔接成本。换言之，降低物流成本的关键，已不是继续扩大基础设施规模，而是在既有设施基础上实现标准和规则的统一，即从“物理连接”走向“规则连接”。会议明确提到的“打通多式联运堵点”，正是这一逻辑的直接体现——多式联运的根本障碍不是公路和铁路没有接上，而是两者的单证、标准、责任划分机制尚未统一。</w:t>
      </w:r>
    </w:p>
    <w:p w14:paraId="162C056E">
      <w:pPr>
        <w:rPr>
          <w:rFonts w:hint="eastAsia"/>
        </w:rPr>
      </w:pPr>
    </w:p>
    <w:p w14:paraId="060C6ED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这个角度看，设施联通的高标准本质上是制度的延伸。当统一大市场的制度建设从“基础制度”延伸到“设施标准”时，它就不再只是市场秩序的规制，而是对经济运行底层通道的规则重塑。这是一次静默但深刻的制度下沉——从市场交易的规则，下沉到支撑交易的物理网络的运行规则。</w:t>
      </w:r>
    </w:p>
    <w:p w14:paraId="5BC61DE1">
      <w:pPr>
        <w:rPr>
          <w:rFonts w:hint="eastAsia"/>
        </w:rPr>
      </w:pPr>
    </w:p>
    <w:p w14:paraId="1D469424">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2.3 壁垒纵深：从“清理显性”到“破除隐性”</w:t>
      </w:r>
    </w:p>
    <w:p w14:paraId="192E0B8D">
      <w:pPr>
        <w:rPr>
          <w:rFonts w:hint="eastAsia"/>
        </w:rPr>
      </w:pPr>
    </w:p>
    <w:p w14:paraId="647BC1C2">
      <w:pPr>
        <w:rPr>
          <w:rFonts w:hint="eastAsia"/>
        </w:rPr>
      </w:pPr>
      <w:r>
        <w:rPr>
          <w:rFonts w:hint="eastAsia" w:ascii="黑体" w:hAnsi="宋体" w:eastAsia="黑体" w:cs="黑体"/>
          <w:b/>
          <w:bCs/>
          <w:kern w:val="2"/>
          <w:sz w:val="28"/>
          <w:szCs w:val="24"/>
          <w:lang w:val="en-US" w:eastAsia="zh-CN" w:bidi="ar-SA"/>
        </w:rPr>
        <w:t>三个“纵深”中最具变革张力的，是破除壁垒的“纵深推进”。会议明确提出：“要以更大力度打通卡点堵点，破除各种显性和隐性壁垒，充分释放市场活力和潜能。”</w:t>
      </w:r>
    </w:p>
    <w:p w14:paraId="75836C76">
      <w:pPr>
        <w:rPr>
          <w:rFonts w:hint="eastAsia"/>
        </w:rPr>
      </w:pPr>
    </w:p>
    <w:p w14:paraId="7A5C77F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隐性壁垒”的提出，标志着统一大市场建设进入深水区。显性壁垒——地方法规中对外地企业的歧视性条款、政府采购中的本地优先政策、行政审批中的区域差别待遇——看得见、摸得着，清理工作虽然阻力不小，但目标明确。过去数年，全国已累计清理废除妨碍统一市场和公平竞争的规定做法数万件，废止、修订了大量含有地方保护内容的地方标准和规范性文件。市场监管总局自2026年5月起部署开展为期8个月的专项行动，31个省（区、市）对存量的省、市两级地方标准进行全面梳理和评估，“力争到2026年底，基本消除地方标准造成的潜在市场分割和地方保护”。这些努力都指向的是显性壁垒。</w:t>
      </w:r>
    </w:p>
    <w:p w14:paraId="029B5FFE">
      <w:pPr>
        <w:rPr>
          <w:rFonts w:hint="eastAsia"/>
        </w:rPr>
      </w:pPr>
    </w:p>
    <w:p w14:paraId="6714DAB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隐性壁垒的运行逻辑更加隐蔽。它不表现为文件中的歧视性规定，而是执法中的选择性、监管中的倾向性、标准执行中的差异性和信息共享中的排他性。例如，某地的招投标程序在文件上对本地和外地企业一视同仁，但外地企业要想参与，需要提交本地企业不需要提供的额外证明材料；某地的产业补贴政策在文本上对所有符合条件的企业开放，但实际操作中“条件”被解释得足够狭窄，以至于只有少数本地龙头企业能够达标。这些做法的共同特征是：形式上不违反任何统一市场的规定，实质上却维持着市场的分割格局。</w:t>
      </w:r>
    </w:p>
    <w:p w14:paraId="5B2FF588">
      <w:pPr>
        <w:rPr>
          <w:rFonts w:hint="eastAsia"/>
        </w:rPr>
      </w:pPr>
    </w:p>
    <w:p w14:paraId="35283D0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南方新闻评论将这一转向解读为“政策矛头直指更具隐蔽性的地方保护主义‘潜规则’”。这个“潜规则”一词准确地捕捉了隐性壁垒的核心特征——它不是写在法律条文中的禁止性条款，而是深深嵌入地方行政文化和利益格局中的不成文惯例。显性壁垒依赖制度的外衣，破除它只需修改制度本身；隐性壁垒植根于执法者、监管者、审批者的行为模式之中，破除它不仅需要制度，更需要改变执行者的动机结构。这恰恰是“纵深”的含义——它不是在制度文本上继续前进，而是在制度的执行层面向下扎根。</w:t>
      </w:r>
    </w:p>
    <w:p w14:paraId="74F6FBA5">
      <w:pPr>
        <w:rPr>
          <w:rFonts w:hint="eastAsia"/>
        </w:rPr>
      </w:pPr>
    </w:p>
    <w:p w14:paraId="2C19F42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隐性壁垒的破除面临两重结构性阻力。其一，地方政府的激励机制尚未根本改变。在现行财税体制和政绩考核框架下，地方政府有强烈的动机保护本地税基和就业，统一市场意味着某些本地落后产能在竞争中被淘汰，这在短期内会体现为地方经济指标的波动。其二，隐性壁垒因其“隐性”而难以被界定和取证。一项选择性执法是否构成隐性壁垒，需要大量案例积累才能建立行为模式证据，单个企业因行政成本而放弃跨区域经营时，往往难以将其经营失败归因于某个可以指认的壁垒。这意味着，破除隐性壁垒不仅需要更严格的监管和专项行动，还需要在更深层次上调整地方政府的激励结构，并建立可以被企业低成本使用的壁垒识别和申诉机制。</w:t>
      </w:r>
    </w:p>
    <w:p w14:paraId="7A140D9C">
      <w:pPr>
        <w:rPr>
          <w:rFonts w:hint="eastAsia"/>
        </w:rPr>
      </w:pPr>
    </w:p>
    <w:p w14:paraId="5425C0D5">
      <w:pPr>
        <w:rPr>
          <w:rFonts w:hint="eastAsia"/>
        </w:rPr>
      </w:pPr>
    </w:p>
    <w:p w14:paraId="4B4D79E1">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3 制度供给：统一大市场与新质生产力的深层互动</w:t>
      </w:r>
    </w:p>
    <w:p w14:paraId="4EF27472">
      <w:pPr>
        <w:rPr>
          <w:rFonts w:hint="eastAsia"/>
        </w:rPr>
      </w:pPr>
    </w:p>
    <w:p w14:paraId="16CC830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将统一大市场的制度逻辑置于“十五五”规划的整体战略框架中审视，可以发现它与新质生产力发展之间存在着深层的制度供给关系。</w:t>
      </w:r>
    </w:p>
    <w:p w14:paraId="214135CA">
      <w:pPr>
        <w:rPr>
          <w:rFonts w:hint="eastAsia"/>
        </w:rPr>
      </w:pPr>
    </w:p>
    <w:p w14:paraId="5A69795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新质生产力的本质特征在于通过科技创新引领生产力要素的质性跃迁，这要求大规模的技术研发投入和长周期的产业培育。单个企业面对高度不确定的新技术路线时，最大的风险之一是市场前景的不确定性——即便技术研发成功，能否形成足够规模的市场需求来摊薄研发成本？</w:t>
      </w:r>
    </w:p>
    <w:p w14:paraId="252E7365">
      <w:pPr>
        <w:rPr>
          <w:rFonts w:hint="eastAsia"/>
        </w:rPr>
      </w:pPr>
    </w:p>
    <w:p w14:paraId="7E3D812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统一大市场恰恰通过制度整合回应了这一风险。《求是》理论文章精准地揭示了这一机制的运作逻辑：“建设全国统一大市场，有助于通过制度整合消除行政壁垒，将区域性、碎片化的需求聚合为规模化、持续性的整体需求。这种由统一市场所塑造的需求基础，具有较强的稳定性，会对技术创新的方向与周期产生深远影响。”这段话的核心洞见在于：统一大市场的功能不仅是“让商品更自由地流动”，更是“让需求更具规模地存在”。</w:t>
      </w:r>
    </w:p>
    <w:p w14:paraId="666F274B">
      <w:pPr>
        <w:rPr>
          <w:rFonts w:hint="eastAsia"/>
        </w:rPr>
      </w:pPr>
    </w:p>
    <w:p w14:paraId="505CC38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以新能源汽车产业为例。中国能够在全球率先实现新能源汽车的规模化推广，一个重要制度条件是全国统一的车辆购置税减免政策、统一的充电接口标准、不受地方保护的统一销售市场。假如各省各自为政——A省只补贴本省品牌、B省使用专用充电标准、C省对外地新能源车征收额外费用——新能源汽车就永远无法从一个政策驱动的示范产业成长为一个市场驱动的大规模产业，因为碎片化的市场无法形成足以支撑技术迭代的规模化需求。</w:t>
      </w:r>
    </w:p>
    <w:p w14:paraId="33261F84">
      <w:pPr>
        <w:rPr>
          <w:rFonts w:hint="eastAsia"/>
        </w:rPr>
      </w:pPr>
    </w:p>
    <w:p w14:paraId="61548B5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推广到新质生产力发展的更广泛场景，“由统一市场塑造的稳定需求基础”至少在三重意义上为科技创新提供了制度性牵引。第一，市场规模的确定性意味着研发成本的摊薄预期，使得企业更愿意进行长周期的前沿技术投入。第二，统一标准的施行意味着技术路线的选择不因区域市场分割而碎片化，创新资源可以沿着少数几条有前景的路线集中投入。第三，统一市场的竞争压力意味着落后技术和低效产能无法依赖地方保护获得喘息，加速了优胜劣汰和技术迭代。在这个意义上，统一大市场不仅是新质生产力发展的外部条件，更是一种主动的制度供给——它以前瞻性的制度整合，为尚未成熟的新技术创造了“值得押注”的市场预期。</w:t>
      </w:r>
    </w:p>
    <w:p w14:paraId="36FE84BD">
      <w:pPr>
        <w:rPr>
          <w:rFonts w:hint="eastAsia"/>
        </w:rPr>
      </w:pPr>
    </w:p>
    <w:p w14:paraId="4A2DB84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十五五”规划纲要也明确将两者做了制度性对接：一方面要求“坚决破除阻碍全国统一大市场建设卡点堵点”，另一方面要求“加快高水平科技自立自强，引领发展新质生产力”。两者的结合点在于，统一市场为新质生产力的技术路线提供规模化的应用场景和检验场，而新质生产力的发展反过来为统一市场注入了持续升级的产业内容——这不是两个独立任务的并列，而是同一发展逻辑的两个制度侧面。</w:t>
      </w:r>
    </w:p>
    <w:p w14:paraId="577E6FCA">
      <w:pPr>
        <w:rPr>
          <w:rFonts w:hint="eastAsia"/>
        </w:rPr>
      </w:pPr>
    </w:p>
    <w:p w14:paraId="2DD152F1">
      <w:pPr>
        <w:rPr>
          <w:rFonts w:hint="eastAsia"/>
        </w:rPr>
      </w:pPr>
    </w:p>
    <w:p w14:paraId="7018F682">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结论：制度进化的深水区</w:t>
      </w:r>
    </w:p>
    <w:p w14:paraId="326919B5">
      <w:pPr>
        <w:rPr>
          <w:rFonts w:hint="eastAsia"/>
        </w:rPr>
      </w:pPr>
    </w:p>
    <w:p w14:paraId="51235ED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从2022年的“加快建设”到2026年的“纵深推进”，全国统一大市场建设走过了一条清晰的制度进化轨迹。这条轨迹的核心特征，不是制度数量</w:t>
      </w:r>
      <w:bookmarkEnd w:id="0"/>
      <w:r>
        <w:rPr>
          <w:rFonts w:hint="default" w:ascii="宋体" w:hAnsi="宋体" w:eastAsia="宋体" w:cs="宋体"/>
          <w:kern w:val="2"/>
          <w:sz w:val="24"/>
          <w:szCs w:val="24"/>
          <w:lang w:val="en-US" w:eastAsia="zh-CN" w:bidi="ar-SA"/>
        </w:rPr>
        <w:t>的增加，而是制度质量的提升——“纵深”的本质，是将已经搭建的制度框架从文本推向实践、从原则细化为标准、从中央要求内化为地方自觉。</w:t>
      </w:r>
    </w:p>
    <w:p w14:paraId="7B5418B8">
      <w:pPr>
        <w:rPr>
          <w:rFonts w:hint="eastAsia"/>
        </w:rPr>
      </w:pPr>
    </w:p>
    <w:p w14:paraId="2E987B6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从三个维度梳理了这一进化的具体内涵。制度纵深，是从“有章可循”走向“标准统一”，解决跨区域规则的碎片化问题。设施纵深，是从“物理连接”走向“规则连接”，在硬件互联的基础上实现标准、数据和责任的软性对接。壁垒纵深，是从“清理显性障碍”走向“破除隐性壁垒”，将治理对象从纸面规定延伸至执法习惯和行为潜规则。</w:t>
      </w:r>
    </w:p>
    <w:p w14:paraId="114C2504">
      <w:pPr>
        <w:rPr>
          <w:rFonts w:hint="eastAsia"/>
        </w:rPr>
      </w:pPr>
    </w:p>
    <w:p w14:paraId="0DD30EB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三个维度的进路共同指向一个判断：统一大市场建设已经进入了制度执行的深水区。浅水区的特征是“建章立制”——制定法律、出台文件、搭建框架，阻力主要来自制度设计的难度。深水区的特征是“令行禁止”——让已有的制度真正统一地运转起来，阻力来自根植于地方利益格局、行政惯性和激励结构之中的系统性张力。破除隐性壁垒之所以困难，正是因为它在形式上不违反任何统一规定，实际上却有效地维持着市场分割——它不需要专门的设计，它本身就是既有利益格局的自然分泌物。因此，深水区的制度建设不能再停留于“再发一个文件”的层面，而需要在两个根基性问题上做出回应：地方政府的财税激励和政绩考核如何与统一市场建设相容；企业遭遇隐性壁垒时的识别、举证和救济成本如何降低。</w:t>
      </w:r>
    </w:p>
    <w:p w14:paraId="65DCF835">
      <w:pPr>
        <w:rPr>
          <w:rFonts w:hint="eastAsia"/>
        </w:rPr>
      </w:pPr>
    </w:p>
    <w:p w14:paraId="3288EC2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建设全国统一大市场，是在960万平方公里的国土上，为14亿人编织一套共同的市场经济运行规则。这曾经被称为“超大规模市场优势”。优势不是天然存在的。碎片化的市场，规模再大也只是散装的加总；唯有制度统一的超大规模市场，才能将体量转化为力量。从“加快建设”到“纵深推进”的转变，说明我们正在做的，正是将规模优势从散装转化为统一。而“纵深”能否真正抵达制度执行的末梢，将最终决定这份转化的成色。</w:t>
      </w:r>
    </w:p>
    <w:p w14:paraId="01EFCB5A">
      <w:pPr>
        <w:rPr>
          <w:rFonts w:hint="eastAsia"/>
        </w:rPr>
      </w:pPr>
    </w:p>
    <w:p w14:paraId="60F9CB0F">
      <w:pPr>
        <w:rPr>
          <w:rFonts w:hint="eastAsia"/>
        </w:rPr>
      </w:pPr>
    </w:p>
    <w:p w14:paraId="60F9C04C">
      <w:pPr>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 参考文献</w:t>
      </w:r>
    </w:p>
    <w:p w14:paraId="5C7DD42E">
      <w:pPr>
        <w:rPr>
          <w:rFonts w:hint="eastAsia"/>
        </w:rPr>
      </w:pPr>
    </w:p>
    <w:p w14:paraId="0B07CBE2">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[1] 新华社. 李强主持召开国务院常务会议 研究推进全国统一大市场建设有关工作[EB/OL]. 2026-05-21.</w:t>
      </w:r>
    </w:p>
    <w:p w14:paraId="0AF81707">
      <w:pPr>
        <w:rPr>
          <w:rFonts w:hint="eastAsia"/>
        </w:rPr>
      </w:pPr>
    </w:p>
    <w:p w14:paraId="40166A1E">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[2] 中共中央 国务院. 关于加快建设全国统一大市场的意见[Z]. 2022-04-10.</w:t>
      </w:r>
    </w:p>
    <w:p w14:paraId="4A0DB642">
      <w:pPr>
        <w:rPr>
          <w:rFonts w:hint="eastAsia"/>
        </w:rPr>
      </w:pPr>
    </w:p>
    <w:p w14:paraId="1FC09E9E">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[3] 人民日报. 建设全国统一大市场 为构建新发展格局提供坚强支撑[N]. 2026-05-22.</w:t>
      </w:r>
    </w:p>
    <w:p w14:paraId="62583C98">
      <w:pPr>
        <w:rPr>
          <w:rFonts w:hint="eastAsia"/>
        </w:rPr>
      </w:pPr>
    </w:p>
    <w:p w14:paraId="082F3C53">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[4] 中国宏观经济研究院. 李红娟：纵深推进统一大市场制度体系提质增效[EB/OL]. 2026-05-22.</w:t>
      </w:r>
    </w:p>
    <w:p w14:paraId="70B71BF0">
      <w:pPr>
        <w:rPr>
          <w:rFonts w:hint="eastAsia"/>
        </w:rPr>
      </w:pPr>
    </w:p>
    <w:p w14:paraId="2A3B9E4F">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[5] 中央党校（国家行政学院）. 王伟：完善五大制度 纵深推进全国统一大市场建设[EB/OL]. 2026-05-22.</w:t>
      </w:r>
    </w:p>
    <w:p w14:paraId="682188E0">
      <w:pPr>
        <w:rPr>
          <w:rFonts w:hint="eastAsia"/>
        </w:rPr>
      </w:pPr>
    </w:p>
    <w:p w14:paraId="1E45E1A3">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[6] 中国社科院金融研究所. 王庆：统一大市场建设实现阶段性跨越[EB/OL]. 2026-05-22.</w:t>
      </w:r>
    </w:p>
    <w:p w14:paraId="297BE8AD">
      <w:pPr>
        <w:rPr>
          <w:rFonts w:hint="eastAsia"/>
        </w:rPr>
      </w:pPr>
    </w:p>
    <w:p w14:paraId="69EAED3F">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[7] 澎湃新闻. 国常会部署三大“纵深推进”，全面升级全国统一大市场建设[EB/OL]. 2026-05-22.</w:t>
      </w:r>
    </w:p>
    <w:p w14:paraId="0ED0257F">
      <w:pPr>
        <w:rPr>
          <w:rFonts w:hint="eastAsia"/>
        </w:rPr>
      </w:pPr>
    </w:p>
    <w:p w14:paraId="696755A5">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[8] 市场监管总局. “破除妨碍统一市场和公平竞争卡点堵点专项行动”方案[Z]. 2026-05.</w:t>
      </w:r>
    </w:p>
    <w:p w14:paraId="342C2049">
      <w:pPr>
        <w:rPr>
          <w:rFonts w:hint="eastAsia"/>
        </w:rPr>
      </w:pPr>
    </w:p>
    <w:p w14:paraId="10398B95">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[9] 《求是》. 培育壮大新质生产力与建设全国统一大市场的制度互动[J/OL]. 2026.</w:t>
      </w:r>
    </w:p>
    <w:p w14:paraId="30071620">
      <w:pPr>
        <w:rPr>
          <w:rFonts w:hint="eastAsia"/>
        </w:rPr>
      </w:pPr>
    </w:p>
    <w:p w14:paraId="314767AC">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[10] 中共中央. 关于制定国民经济和社会发展第十五个五年规划的建议[Z]. 2025-10.</w:t>
      </w:r>
    </w:p>
    <w:p w14:paraId="23D5E9B0">
      <w:pPr>
        <w:spacing w:line="360" w:lineRule="auto"/>
        <w:ind w:hanging="420" w:hangingChars="200"/>
        <w:rPr>
          <w:rFonts w:hint="default" w:asciiTheme="minorHAnsi" w:hAnsiTheme="minorHAnsi" w:eastAsiaTheme="minorEastAsia" w:cstheme="minorBidi"/>
          <w:kern w:val="2"/>
          <w:sz w:val="21"/>
          <w:szCs w:val="24"/>
          <w:lang w:val="en-US" w:eastAsia="zh-CN" w:bidi="ar-SA"/>
        </w:rPr>
      </w:pPr>
      <w:r>
        <w:rPr>
          <w:rFonts w:hint="eastAsia"/>
        </w:rPr>
        <w:t>[</w:t>
      </w:r>
      <w:r>
        <w:rPr>
          <w:rFonts w:hint="default" w:ascii="Times New Roman" w:hAnsi="Times New Roman" w:cs="Times New Roman" w:eastAsiaTheme="minorEastAsia"/>
          <w:kern w:val="2"/>
          <w:sz w:val="21"/>
          <w:szCs w:val="24"/>
          <w:lang w:val="en-US" w:eastAsia="zh-CN" w:bidi="ar-SA"/>
        </w:rPr>
        <w:t>[11] 市场监管总局. 关于地方标准清理规范的工作部署[EB/OL]. 2026-05.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5D3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2026-05-23T15:37:06Z</dcterms:created>
  <dc:creator>永远健康</dc:creator>
  <cp:lastModifiedBy>WPS_1719835985</cp:lastModifiedBy>
  <dcterms:modified xsi:type="dcterms:W3CDTF">2026-05-23T16:24:45Z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960B759BF04A443B9E604913E0A69F6E_12</vt:lpwstr>
  </property>
</Properties>
</file>