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2A5D6">
      <w:pPr>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44"/>
          <w:szCs w:val="24"/>
          <w:lang w:val="en-US" w:eastAsia="zh-CN" w:bidi="ar-SA"/>
        </w:rPr>
        <w:t xml:space="preserve"> 既“放得活”又“管得好”：智能体治理的中国范式</w:t>
      </w:r>
    </w:p>
    <w:p w14:paraId="7E4B72A3">
      <w:pPr>
        <w:rPr>
          <w:rFonts w:hint="eastAsia"/>
        </w:rPr>
      </w:pPr>
    </w:p>
    <w:p w14:paraId="44C3A0A1">
      <w:pPr>
        <w:jc w:val="cente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AIGC使用声明</w:t>
      </w:r>
    </w:p>
    <w:p w14:paraId="0C76D829">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508931B2">
      <w:pPr>
        <w:rPr>
          <w:rFonts w:hint="eastAsia"/>
        </w:rPr>
      </w:pPr>
    </w:p>
    <w:p w14:paraId="4DA2A9D4">
      <w:pPr>
        <w:rPr>
          <w:rFonts w:hint="eastAsia"/>
        </w:rPr>
      </w:pPr>
    </w:p>
    <w:p w14:paraId="1381C23C">
      <w:pPr>
        <w:jc w:val="cente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摘要</w:t>
      </w:r>
    </w:p>
    <w:p w14:paraId="3C6EB8D7">
      <w:pPr>
        <w:rPr>
          <w:rFonts w:hint="eastAsia"/>
        </w:rPr>
      </w:pPr>
    </w:p>
    <w:p w14:paraId="0AC51AE9">
      <w:pPr>
        <w:rPr>
          <w:rFonts w:hint="eastAsia"/>
        </w:rPr>
      </w:pPr>
      <w:r>
        <w:rPr>
          <w:rFonts w:hint="eastAsia"/>
        </w:rPr>
        <w:t>2026年5月8日，国家网信办、国家发展改革委、工业和信息化部联合印发《智能体规范应用与创新发展实施意见》，这是中国首部以“智能体（Agent）”为核心主题的系统性政策文件。相比于此前以“生成内容”为主要治理对象的大模型监管，智能体因其“自主感知—决策—执行”的闭环能力，对治理体系提出了从“管住输出”到“管住行为”的范式升级要求。《实施意见》的核心制度创新在于：通过分类分级治理划定差异化的监管强度，通过决策权限“三分法”厘清人与机器的责任边界，通过全生命周期治理实现安全与创新的制度性平衡。本文认为，《实施意见》所构建的治理框架，是一种中国式的“敏捷治理”实践——它在刚性底线与弹性空间之间建立了制度性平衡机制，在促进技术创新与防范社会风险之间开辟了第三条道路。这一范式与之前讨论的生成式AI伦理治理、具身智能法律空白、数据隐私保护等议题形成理论闭环，其核心哲学——“既放得活，又管得好”——可能为中国乃至全球AI治理提供可复制的制度经验。</w:t>
      </w:r>
    </w:p>
    <w:p w14:paraId="6579CECA">
      <w:pPr>
        <w:rPr>
          <w:rFonts w:hint="eastAsia"/>
        </w:rPr>
      </w:pPr>
    </w:p>
    <w:p w14:paraId="3394FFA7">
      <w:pPr>
        <w:jc w:val="cente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关键词：智能体；分类分级治理；决策权限；敏捷治理；全生命周期；安全可控</w:t>
      </w:r>
    </w:p>
    <w:p w14:paraId="194E26C2">
      <w:pPr>
        <w:rPr>
          <w:rFonts w:hint="eastAsia"/>
        </w:rPr>
      </w:pPr>
    </w:p>
    <w:p w14:paraId="3319DDF4">
      <w:pPr>
        <w:rPr>
          <w:rFonts w:hint="eastAsia"/>
        </w:rPr>
      </w:pPr>
    </w:p>
    <w:p w14:paraId="6AC1C0A9">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1 引言：当AI学会了“做事”</w:t>
      </w:r>
    </w:p>
    <w:p w14:paraId="29CC9C2F">
      <w:pPr>
        <w:rPr>
          <w:rFonts w:hint="eastAsia"/>
        </w:rPr>
      </w:pPr>
    </w:p>
    <w:p w14:paraId="69D995CA">
      <w:pPr>
        <w:rPr>
          <w:rFonts w:hint="eastAsia"/>
        </w:rPr>
      </w:pPr>
      <w:r>
        <w:rPr>
          <w:rFonts w:hint="eastAsia"/>
        </w:rPr>
        <w:t>2026年5月8日，一份文件的出台在AI产业界和法律界同时引发了关注。国家互联网信息办公室、国家发展改革委、工业和信息化部联合印发《智能体规范应用与创新发展实施意见》。这是中国首部以“智能体”为核心主题的系统性政策文件，也是国家部委首次单独为这一技术形态“立规”。</w:t>
      </w:r>
    </w:p>
    <w:p w14:paraId="47E0E2F1">
      <w:pPr>
        <w:rPr>
          <w:rFonts w:hint="eastAsia"/>
        </w:rPr>
      </w:pPr>
    </w:p>
    <w:p w14:paraId="1A336815">
      <w:pPr>
        <w:rPr>
          <w:rFonts w:hint="eastAsia"/>
        </w:rPr>
      </w:pPr>
      <w:r>
        <w:rPr>
          <w:rFonts w:hint="eastAsia"/>
        </w:rPr>
        <w:t>要理解这份文件的分量，首先需要理解智能体与之前AI技术形态的本质区别。此前，以大语言模型为代表的生成式AI，其核心能力是“生成内容”——写文章、回答问题、翻译文本。对这类AI的治理，核心关切在于内容的准确性、价值观的安全性和知识产权的边界。但智能体不同。智能体被定义为“具备自主感知、记忆、决策、交互与执行能力的智能系统”。这一定义的关键词是“执行”——智能体不仅“说”，还“做”；不仅生成建议，还能操作软件、控制设备、完成一连串复杂任务。</w:t>
      </w:r>
    </w:p>
    <w:p w14:paraId="10E48BFF">
      <w:pPr>
        <w:rPr>
          <w:rFonts w:hint="eastAsia"/>
        </w:rPr>
      </w:pPr>
    </w:p>
    <w:p w14:paraId="7AB38999">
      <w:pPr>
        <w:rPr>
          <w:rFonts w:hint="eastAsia"/>
        </w:rPr>
      </w:pPr>
      <w:r>
        <w:rPr>
          <w:rFonts w:hint="eastAsia"/>
        </w:rPr>
        <w:t>当AI从“内容的生成者”升级为“行为的执行者”，治理的复杂性便出现了质的跃升。一个生成错误回答的大模型，其后果局限于信息误导；一个做出错误决策的智能体，则可能直接引发财产损失、隐私泄露乃至人身伤亡。正如文件所警示的，“智能体高自主性、高权限等特性也带来了隐私泄露、越权操作、行为失控等安全风险”。这意味着，治理体系必须完成一次范式升级：从“管住AI说什么”走向“管住AI做什么”。</w:t>
      </w:r>
    </w:p>
    <w:p w14:paraId="0F8A0005">
      <w:pPr>
        <w:rPr>
          <w:rFonts w:hint="eastAsia"/>
        </w:rPr>
      </w:pPr>
    </w:p>
    <w:p w14:paraId="08DE6BDB">
      <w:pPr>
        <w:rPr>
          <w:rFonts w:hint="eastAsia"/>
        </w:rPr>
      </w:pPr>
      <w:r>
        <w:rPr>
          <w:rFonts w:hint="eastAsia"/>
        </w:rPr>
        <w:t>本文所要探讨的核心问题是：《实施意见》究竟构建了怎样的治理框架？它如何在促进技术创新与防范社会风险之间建立制度性平衡？这一框架能否为中国乃至全球AI治理提供可复制的经验？通过分析分类分级治理、决策权限划分和全生命周期管理等制度创新，本文将论证：《实施意见》所代表的，是一种“既放得活，又管得好”的敏捷治理范式——它不追求以静态规则穷尽所有风险，而是建立一个能够根据技术发展和实践反馈持续调适的制度有机体。</w:t>
      </w:r>
    </w:p>
    <w:p w14:paraId="4040367E">
      <w:pPr>
        <w:rPr>
          <w:rFonts w:hint="eastAsia"/>
        </w:rPr>
      </w:pPr>
    </w:p>
    <w:p w14:paraId="7A318459">
      <w:pPr>
        <w:rPr>
          <w:rFonts w:hint="eastAsia"/>
        </w:rPr>
      </w:pPr>
    </w:p>
    <w:p w14:paraId="39AF9547">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2 治理对象的范式升级：从“内容生成”到“行为执行”</w:t>
      </w:r>
    </w:p>
    <w:p w14:paraId="7F77EAD1">
      <w:pPr>
        <w:rPr>
          <w:rFonts w:hint="eastAsia"/>
        </w:rPr>
      </w:pPr>
    </w:p>
    <w:p w14:paraId="6E31F3F2">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2.1 智能体的特殊性：自主闭环带来的治理挑战</w:t>
      </w:r>
    </w:p>
    <w:p w14:paraId="5C7E8B38">
      <w:pPr>
        <w:rPr>
          <w:rFonts w:hint="eastAsia"/>
        </w:rPr>
      </w:pPr>
    </w:p>
    <w:p w14:paraId="113DCB84">
      <w:pPr>
        <w:rPr>
          <w:rFonts w:hint="eastAsia"/>
        </w:rPr>
      </w:pPr>
      <w:r>
        <w:rPr>
          <w:rFonts w:hint="eastAsia"/>
        </w:rPr>
        <w:t>理解智能体治理的特殊性，需要对智能体的运作机制做一个简化的描述。一个典型的智能体系统具备“感知—决策—执行”的完整闭环：它感知环境（读取数据、接收指令），做出决策（分析信息、制定方案），执行行动（操作工具、改变状态）。这一闭环使其区别于传统AI工具的两个根本特征在于：自主性和权限性。</w:t>
      </w:r>
    </w:p>
    <w:p w14:paraId="4CB6D760">
      <w:pPr>
        <w:rPr>
          <w:rFonts w:hint="eastAsia"/>
        </w:rPr>
      </w:pPr>
    </w:p>
    <w:p w14:paraId="22A20F83">
      <w:pPr>
        <w:rPr>
          <w:rFonts w:hint="eastAsia"/>
        </w:rPr>
      </w:pPr>
      <w:r>
        <w:rPr>
          <w:rFonts w:hint="eastAsia"/>
        </w:rPr>
        <w:t>自主性意味着智能体在给定的目标下，能够自行规划完成路径、自主选择调用哪些工具、自行决定行动的先后次序——人类使用者只需要提出“做什么”，而不需要规定“怎么做”。权限性意味着智能体往往被授予了操作现实世界系统的权力——它可以发送邮件、修改数据库、调用支付接口、控制生产设备。自主性与权限性叠加，便构成了一个尖锐的治理难题：一个高自主、高权限的行动者，如果其行动逻辑不可预测、决策过程不可解释，如何确保其行为既有效又安全？</w:t>
      </w:r>
    </w:p>
    <w:p w14:paraId="50667D94">
      <w:pPr>
        <w:rPr>
          <w:rFonts w:hint="eastAsia"/>
        </w:rPr>
      </w:pPr>
    </w:p>
    <w:p w14:paraId="58E6912C">
      <w:pPr>
        <w:rPr>
          <w:rFonts w:hint="eastAsia"/>
        </w:rPr>
      </w:pPr>
      <w:r>
        <w:rPr>
          <w:rFonts w:hint="eastAsia"/>
        </w:rPr>
        <w:t>传统大模型的治理框架并未充分应对这一挑战。此前出台的《生成式人工智能服务管理暂行办法》等制度工具，其规制核心在于“管住输出”——要求生成内容符合法律法规、不传播有害信息、标识AI生成属性。这一框架隐含着两个前提：AI只输出信息，不执行行动；输出的接收者是具有判断能力的人类，由其自行决定是否采纳。然而，智能体的出现使这两个前提同时松动——它不仅输出信息，还直接采取行动；它的行动对象可能不是人类用户，而是另一个自动化系统，中间没有人类判断的“防火墙”。这意味着，从大模型治理到智能体治理，不是治理对象的简单扩展，而是治理范式的结构性升级——从“管住AI说什么”走向“管住AI做什么”。</w:t>
      </w:r>
    </w:p>
    <w:p w14:paraId="79D82860">
      <w:pPr>
        <w:rPr>
          <w:rFonts w:hint="eastAsia"/>
        </w:rPr>
      </w:pPr>
    </w:p>
    <w:p w14:paraId="32E320F1">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2.2 全球首部专项政策：中国在智能体治理上的先行一步</w:t>
      </w:r>
    </w:p>
    <w:p w14:paraId="0B8A1673">
      <w:pPr>
        <w:rPr>
          <w:rFonts w:hint="eastAsia"/>
        </w:rPr>
      </w:pPr>
    </w:p>
    <w:p w14:paraId="2E206EB9">
      <w:pPr>
        <w:rPr>
          <w:rFonts w:hint="eastAsia"/>
        </w:rPr>
      </w:pPr>
      <w:r>
        <w:rPr>
          <w:rFonts w:hint="eastAsia"/>
        </w:rPr>
        <w:t>将《实施意见》置于全球AI治理的横向比较中，其先锋性便更加凸显。截至2026年5月，欧盟《人工智能法案》虽已生效，但其以风险分级为核心的监管框架主要针对特定应用场景的AI系统进行分类规制，尚未针对智能体这一特殊形态出台专项规则。美国在国家层面仍缺乏统一AI立法，对AI智能体的监管主要依托各州零散的法案和联邦机构的行业性指引。而在中国，《实施意见》作为全球范围内率先为智能体量身定制的专项政策文件，标志着智能体从技术探索正式进入国家战略引导和系统性治理的新阶段。</w:t>
      </w:r>
    </w:p>
    <w:p w14:paraId="7B80B7E7">
      <w:pPr>
        <w:rPr>
          <w:rFonts w:hint="eastAsia"/>
        </w:rPr>
      </w:pPr>
    </w:p>
    <w:p w14:paraId="38228168">
      <w:pPr>
        <w:rPr>
          <w:rFonts w:hint="eastAsia"/>
        </w:rPr>
      </w:pPr>
      <w:r>
        <w:rPr>
          <w:rFonts w:hint="eastAsia"/>
        </w:rPr>
        <w:t>赛迪研究院专家的评价准确地把握了这一文件的定位：《实施意见》“标志着我国在智能体规模化应用的关键窗口期，率先构建起覆盖智能体全生命周期的发展和治理框架”。这句评价中，“关键窗口期”一词值得玩味——它不是事后总结的从容不迫，而是窗口期内抢先布局的前瞻行动。Gartner预测，2026年将有40%的企业应用嵌入任务型AI智能体，中国企业级AI智能体市场规模突破480亿元。技术应用的速度已经不允许监管者从容等待教训积累，必须在风险规模化爆发之前建立制度框架。《实施意见》的出台时机，本身就体现了一种“与创新同步治理”而非“等出事再补救”的敏捷思维。</w:t>
      </w:r>
    </w:p>
    <w:p w14:paraId="50243381">
      <w:pPr>
        <w:rPr>
          <w:rFonts w:hint="eastAsia"/>
        </w:rPr>
      </w:pPr>
    </w:p>
    <w:p w14:paraId="50B7ADE8">
      <w:pPr>
        <w:rPr>
          <w:rFonts w:hint="eastAsia"/>
        </w:rPr>
      </w:pPr>
    </w:p>
    <w:p w14:paraId="68B409E8">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3 制度的辩证法：分类分级与决策权限</w:t>
      </w:r>
    </w:p>
    <w:p w14:paraId="61704B15">
      <w:pPr>
        <w:rPr>
          <w:rFonts w:hint="eastAsia"/>
        </w:rPr>
      </w:pPr>
    </w:p>
    <w:p w14:paraId="08768C27">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3.1 分类分级治理的逻辑：不是所有风险都要用最重的规制</w:t>
      </w:r>
    </w:p>
    <w:p w14:paraId="54E85E69">
      <w:pPr>
        <w:rPr>
          <w:rFonts w:hint="eastAsia"/>
        </w:rPr>
      </w:pPr>
    </w:p>
    <w:p w14:paraId="43AA494D">
      <w:pPr>
        <w:rPr>
          <w:rFonts w:hint="eastAsia"/>
        </w:rPr>
      </w:pPr>
      <w:r>
        <w:rPr>
          <w:rFonts w:hint="eastAsia"/>
        </w:rPr>
        <w:t>《实施意见》最核心的制度创新，是构建了分类分级的治理框架。《实施意见》要求“适应智能体技术演进规律，根据应用场景和潜在影响，构建审慎稳妥的分类分级治理框架”。这一原则在实际操作中体现为差异化的监管强度：对于金融、医疗、交通等敏感领域及重点行业的智能体，实行备案、检测、问题产品召回等相对严格的管理手段；对于生活娱乐、日常办公等低风险领域的智能体，则主要通过合规自测、信息报告、分发平台管理和行业自律来实现高效治理。</w:t>
      </w:r>
    </w:p>
    <w:p w14:paraId="223BBDC9">
      <w:pPr>
        <w:rPr>
          <w:rFonts w:hint="eastAsia"/>
        </w:rPr>
      </w:pPr>
    </w:p>
    <w:p w14:paraId="797CDFDB">
      <w:pPr>
        <w:rPr>
          <w:rFonts w:hint="eastAsia"/>
        </w:rPr>
      </w:pPr>
      <w:r>
        <w:rPr>
          <w:rFonts w:hint="eastAsia"/>
        </w:rPr>
        <w:t>这一设计背后的制度逻辑清晰可辨：不是所有风险都要用最重的规制来应对。如果对一款游戏AI助手和一款医疗诊断智能体适用同一套审查标准和准入门槛，结果将是双输——低风险应用因合规成本过高而扼杀创新活力，高风险应用则可能因审查资源被稀释而未能充分把关。将风险等级与监管强度挂钩，在守住安全底线的前提下为低风险创新留出最大空间——这正是“既放得活，又管得好”的制度精髓。</w:t>
      </w:r>
    </w:p>
    <w:p w14:paraId="297B59ED">
      <w:pPr>
        <w:rPr>
          <w:rFonts w:hint="eastAsia"/>
        </w:rPr>
      </w:pPr>
    </w:p>
    <w:p w14:paraId="487F56F2">
      <w:pPr>
        <w:rPr>
          <w:rFonts w:hint="eastAsia"/>
        </w:rPr>
      </w:pPr>
      <w:r>
        <w:rPr>
          <w:rFonts w:hint="eastAsia"/>
        </w:rPr>
        <w:t>这一分类分级逻辑，与此前讨论的“生成式AI知识生产伦理治理”中的风险分层框架形成了理论呼应。在知识生产伦理的语境下，本文曾提出将AI介入学术写作分为“低风险”（语法校对）、“中风险”（文献综述辅助）和“高风险”（核心论证替代）三个层级，匹配差异化的审查要求。《实施意见》在智能体治理上采纳了同一治理哲学，这说明分类分级在中国的AI治理体系中正从一个具体领域的制度尝试上升为一种跨领域的治理方法论。</w:t>
      </w:r>
    </w:p>
    <w:p w14:paraId="40F84FEF">
      <w:pPr>
        <w:rPr>
          <w:rFonts w:hint="eastAsia"/>
        </w:rPr>
      </w:pPr>
    </w:p>
    <w:p w14:paraId="0CA299A0">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3.2 决策权限“三分法”：厘清人机责任边界的关键制度安排</w:t>
      </w:r>
    </w:p>
    <w:p w14:paraId="546DAC3B">
      <w:pPr>
        <w:rPr>
          <w:rFonts w:hint="eastAsia"/>
        </w:rPr>
      </w:pPr>
    </w:p>
    <w:p w14:paraId="79AB7450">
      <w:pPr>
        <w:rPr>
          <w:rFonts w:hint="eastAsia"/>
        </w:rPr>
      </w:pPr>
      <w:r>
        <w:rPr>
          <w:rFonts w:hint="eastAsia"/>
        </w:rPr>
        <w:t>《实施意见》最具突破性的制度设计之一，是首次从国家政策层面对智能体的决策权限做出明确划分，区分“仅限用户本人决策”“需由用户授权决策”“智能体自主决策”三种模式。工信部信息通信经济专家委员会委员盘和林特别强调：“无论哪种模式，用户都必须保留最终的知情权和‘叫停权’。”</w:t>
      </w:r>
    </w:p>
    <w:p w14:paraId="3F7C6948">
      <w:pPr>
        <w:rPr>
          <w:rFonts w:hint="eastAsia"/>
        </w:rPr>
      </w:pPr>
    </w:p>
    <w:p w14:paraId="5F5D3918">
      <w:pPr>
        <w:rPr>
          <w:rFonts w:hint="eastAsia"/>
        </w:rPr>
      </w:pPr>
      <w:r>
        <w:rPr>
          <w:rFonts w:hint="eastAsia"/>
        </w:rPr>
        <w:t>这一“三分法”在法理上完成了此前多个政策文件中只是初步触及但未系统阐明的工作——厘清人与机器的决策边界。此前的研究曾指出，AI致害后的责任认定困境，根源之一在于人与机器决策权限不清。当一个医疗智能体推荐了某种治疗方案并被采纳后，如果发生医疗事故，是开发者的责任（因为AI输出该建议）、使用者的责任（因为使用者选择采纳），还是部署者的责任（因为部署场景时未做充分安全测试）？“三分法”为回答这一问题提供了基础性的制度框架：如果某场景智能体被划定为“仅限用户本人决策”模式，但实际运行中智能体替代用户做出了决策，则责任的归属将更加清晰。</w:t>
      </w:r>
    </w:p>
    <w:p w14:paraId="189BE97A">
      <w:pPr>
        <w:rPr>
          <w:rFonts w:hint="eastAsia"/>
        </w:rPr>
      </w:pPr>
    </w:p>
    <w:p w14:paraId="0EE5EE3E">
      <w:pPr>
        <w:rPr>
          <w:rFonts w:hint="eastAsia"/>
        </w:rPr>
      </w:pPr>
      <w:r>
        <w:rPr>
          <w:rFonts w:hint="eastAsia"/>
        </w:rPr>
        <w:t>但应当指出的是，“三分法”目前还停留在原则性划分阶段，对于三种模式分别适用于哪些具体场景、违反权限的认定标准和处罚措施等细节，仍有待后续配套细则进一步明确。这是《实施意见》为行业预留的弹性空间，也是制度落地面临的关键考验。</w:t>
      </w:r>
    </w:p>
    <w:p w14:paraId="00115BAA">
      <w:pPr>
        <w:rPr>
          <w:rFonts w:hint="eastAsia"/>
        </w:rPr>
      </w:pPr>
    </w:p>
    <w:p w14:paraId="7934CE82">
      <w:pPr>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3.3 “全生命周期”安全：从研发到退役的闭环治理</w:t>
      </w:r>
    </w:p>
    <w:p w14:paraId="5D44A4A5">
      <w:pPr>
        <w:rPr>
          <w:rFonts w:hint="eastAsia"/>
        </w:rPr>
      </w:pPr>
    </w:p>
    <w:p w14:paraId="228B72C3">
      <w:pPr>
        <w:rPr>
          <w:rFonts w:hint="eastAsia"/>
        </w:rPr>
      </w:pPr>
      <w:r>
        <w:rPr>
          <w:rFonts w:hint="eastAsia" w:ascii="黑体" w:hAnsi="宋体" w:eastAsia="黑体" w:cs="黑体"/>
          <w:kern w:val="2"/>
          <w:sz w:val="24"/>
          <w:szCs w:val="24"/>
          <w:lang w:val="en-US" w:eastAsia="zh-CN" w:bidi="ar-SA"/>
        </w:rPr>
        <w:t>将安全的理念贯穿智能体的全生命周期——从设计开发到部署应用再到维护退出——是《实施意见》的另一项制度创新。《实施意见》明确要求“提升在智能体内生安全、供应链安全、应用衍生风险等方面的风险防范能力，实现智能体开发、部署、应用、维护全周期安全管理”。</w:t>
      </w:r>
    </w:p>
    <w:p w14:paraId="207EE6E5">
      <w:pPr>
        <w:rPr>
          <w:rFonts w:hint="eastAsia"/>
        </w:rPr>
      </w:pPr>
    </w:p>
    <w:p w14:paraId="387289B2">
      <w:pPr>
        <w:rPr>
          <w:rFonts w:hint="eastAsia"/>
        </w:rPr>
      </w:pPr>
      <w:r>
        <w:rPr>
          <w:rFonts w:hint="eastAsia"/>
        </w:rPr>
        <w:t>全生命周期治理是对“事后补救”模式的制度性超越。在传统的产品安全监管中，监管介入通常发生在产品上市之后——发现缺陷、启动召回、事后追责。但智能体的风险特征使得这种事后模式成本过高：一个被广泛部署的智能体，若其安全缺陷在上线数月后才被发现，其间已经产生的损害可能难以完全逆转。全生命周期治理试图将安全防线前移——在研发阶段融入安全设计（如规则内嵌、行为围栏），在部署阶段进行场景化安全测试，在运行阶段实现异常行为的实时监测和阻断，在退出阶段确保数据安全销毁。这套“全链条”安全机制，与此前讨论的“生成式AI伦理治理”中的“全链条伦理审查”形成了制度设计上的同构呼应，将“敏捷治理”的理念从伦理领域延伸到了安全领域。</w:t>
      </w:r>
    </w:p>
    <w:p w14:paraId="7EF77900">
      <w:pPr>
        <w:rPr>
          <w:rFonts w:hint="eastAsia"/>
        </w:rPr>
      </w:pPr>
    </w:p>
    <w:p w14:paraId="062F92A4">
      <w:pPr>
        <w:rPr>
          <w:rFonts w:hint="eastAsia"/>
        </w:rPr>
      </w:pPr>
    </w:p>
    <w:p w14:paraId="7B2FC3D2">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4 发展哲学：创新与安全的制度性平衡</w:t>
      </w:r>
    </w:p>
    <w:p w14:paraId="0855DE08">
      <w:pPr>
        <w:rPr>
          <w:rFonts w:hint="eastAsia"/>
        </w:rPr>
      </w:pPr>
    </w:p>
    <w:p w14:paraId="181EC97E">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4.1 “既放得活，又管得好”的制度设计</w:t>
      </w:r>
    </w:p>
    <w:p w14:paraId="59411F88">
      <w:pPr>
        <w:rPr>
          <w:rFonts w:hint="eastAsia"/>
        </w:rPr>
      </w:pPr>
    </w:p>
    <w:p w14:paraId="07B99DC9">
      <w:pPr>
        <w:rPr>
          <w:rFonts w:hint="eastAsia"/>
        </w:rPr>
      </w:pPr>
      <w:r>
        <w:rPr>
          <w:rFonts w:hint="eastAsia"/>
        </w:rPr>
        <w:t>清华大学文科资深教授薛澜在解读《实施意见》时指出：“清晰的政策规则能降低市场不确定性，帮助企业明确研发与商业化的边界，将资源和投资更有效地集中于符合规范的技术创新与场景探索，有助于形成稳定、可持续的产业发展环境。”这段话点出了一个制度经济学的核心洞见：明确且可预期的规则，不是创新的阻碍，而是创新的条件。当企业不知道监管的边界在哪时，最理性的策略是过度保守——放弃一切可能触碰红线的创新，以求自保。而当监管划定了清晰的边界之后，边界之外的空间反而被释放出来，成为企业可以放心驰骋的创新领地。</w:t>
      </w:r>
    </w:p>
    <w:p w14:paraId="01B46BEC">
      <w:pPr>
        <w:rPr>
          <w:rFonts w:hint="eastAsia"/>
        </w:rPr>
      </w:pPr>
    </w:p>
    <w:p w14:paraId="33185CCB">
      <w:pPr>
        <w:rPr>
          <w:rFonts w:hint="eastAsia"/>
        </w:rPr>
      </w:pPr>
      <w:r>
        <w:rPr>
          <w:rFonts w:hint="eastAsia"/>
        </w:rPr>
        <w:t>《实施意见》正是试图用规则的清晰性来换取产业的积极性。它在“安全底线”部分明确列举了若干条具体的禁止性要求，使企业知道什么绝对不能做；同时，它在“发展基础”和“创新生态”部分提供了清晰的鼓励方向——技术底座、标准协议、开源生态、19个应用场景——使企业知道什么受到欢迎。这种“正面清单+负面清单”相结合的制度表达方式，降低了市场预期的不确定性，构成了“既放得活，又管得好”的制度基础。</w:t>
      </w:r>
    </w:p>
    <w:p w14:paraId="50002FA1">
      <w:pPr>
        <w:rPr>
          <w:rFonts w:hint="eastAsia"/>
        </w:rPr>
      </w:pPr>
    </w:p>
    <w:p w14:paraId="107225F4">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4.2 从“大模型”到“智能体”：治理能力的迭代进化</w:t>
      </w:r>
    </w:p>
    <w:p w14:paraId="060E6A04">
      <w:pPr>
        <w:rPr>
          <w:rFonts w:hint="eastAsia"/>
        </w:rPr>
      </w:pPr>
    </w:p>
    <w:p w14:paraId="5E8420BF">
      <w:pPr>
        <w:rPr>
          <w:rFonts w:hint="eastAsia"/>
        </w:rPr>
      </w:pPr>
      <w:r>
        <w:rPr>
          <w:rFonts w:hint="eastAsia"/>
        </w:rPr>
        <w:t>从制度演进的纵向视角看，《实施意见》的出台标志着中国AI治理体系完成了一次治理能力的迭代进化。</w:t>
      </w:r>
    </w:p>
    <w:p w14:paraId="38FC1A6A">
      <w:pPr>
        <w:rPr>
          <w:rFonts w:hint="eastAsia"/>
        </w:rPr>
      </w:pPr>
    </w:p>
    <w:p w14:paraId="2896BD45">
      <w:pPr>
        <w:rPr>
          <w:rFonts w:hint="eastAsia"/>
        </w:rPr>
      </w:pPr>
      <w:r>
        <w:rPr>
          <w:rFonts w:hint="eastAsia"/>
        </w:rPr>
        <w:t>2023年的《生成式人工智能服务管理暂行办法》确立了以“内容安全”为核心的治理范式，监管重点在于输出内容是否合法合规。2025年至2026年初密集出台的《人工智能科技伦理审查与服务办法》《人工智能拟人化互动服务管理暂行办法》等制度工具，将治理范围从“内容”扩展到了“伦理”和“交互模式”。而此次的《实施意见》，则将治理范围从“生成式AI”扩展到了能够自主行动的“智能体”——治理对象完成了从“管住说什么”到“管住做什么”的根本性跃迁。</w:t>
      </w:r>
    </w:p>
    <w:p w14:paraId="182D6E4C">
      <w:pPr>
        <w:rPr>
          <w:rFonts w:hint="eastAsia"/>
        </w:rPr>
      </w:pPr>
    </w:p>
    <w:p w14:paraId="76444548">
      <w:pPr>
        <w:rPr>
          <w:rFonts w:hint="eastAsia"/>
        </w:rPr>
      </w:pPr>
      <w:r>
        <w:rPr>
          <w:rFonts w:hint="eastAsia"/>
        </w:rPr>
        <w:t>这一演进路径呈现出清晰的学习曲线：中国AI治理体系并非一次性地设计出一个无所不包的完美框架，而是在技术演进的不同阶段，针对当时最突出的风险特征，分层分批地出台专项制度。各个制度工具之间不重复、不冲突，而是形成了一种递进式、互补式的制度网络。这种“不追求一步到位，而是持续迭代”的制度演进策略，本身就体现了敏捷治理的核心原则——治理制度必须与技术一样具备学习和进化的能力。</w:t>
      </w:r>
    </w:p>
    <w:p w14:paraId="71BFB19E">
      <w:pPr>
        <w:rPr>
          <w:rFonts w:hint="eastAsia"/>
        </w:rPr>
      </w:pPr>
    </w:p>
    <w:p w14:paraId="4F46AFC7">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4.3 19个应用场景：“以应用牵引创新”的中国路径</w:t>
      </w:r>
    </w:p>
    <w:p w14:paraId="28C83B76">
      <w:pPr>
        <w:rPr>
          <w:rFonts w:hint="eastAsia"/>
        </w:rPr>
      </w:pPr>
    </w:p>
    <w:p w14:paraId="1773F56E">
      <w:pPr>
        <w:rPr>
          <w:rFonts w:hint="eastAsia"/>
        </w:rPr>
      </w:pPr>
      <w:r>
        <w:rPr>
          <w:rFonts w:hint="eastAsia"/>
        </w:rPr>
        <w:t>《实施意见》提出围绕科学研究、产业发展、提振消费、民生福祉、社会治理五大方向布局19个典型应用场景。有行业解读指出，“19类应用场景，也是19个‘试验场’，推动技术与需求精准对接，形成‘以创新带应用、以应用促创新’的良性循环”。</w:t>
      </w:r>
    </w:p>
    <w:p w14:paraId="558CCDD5">
      <w:pPr>
        <w:rPr>
          <w:rFonts w:hint="eastAsia"/>
        </w:rPr>
      </w:pPr>
    </w:p>
    <w:p w14:paraId="7C592321">
      <w:pPr>
        <w:rPr>
          <w:rFonts w:hint="eastAsia"/>
        </w:rPr>
      </w:pPr>
      <w:r>
        <w:rPr>
          <w:rFonts w:hint="eastAsia"/>
        </w:rPr>
        <w:t>应用场景的明确规划，展现了中国AI治理中的“供给侧”思维——不是坐等技术成熟后再寻找市场出口，而是提前规划技术可以服务的真实社会需求，用需求牵引供给。这一制度工具与之前讨论的上海50个国企AI场景开放具有逻辑上的同构性，均体现了“需求端先行”的产业政策哲学。两者的区别在于，上海的50个场景是“开放需求”的实践探索，而《实施意见》的19个场景是“规划方向”的顶层设计，二者上下呼应，形成了从国家战略到地方实践的完整链条。</w:t>
      </w:r>
    </w:p>
    <w:p w14:paraId="2BE11EAA">
      <w:pPr>
        <w:rPr>
          <w:rFonts w:hint="eastAsia"/>
        </w:rPr>
      </w:pPr>
    </w:p>
    <w:p w14:paraId="2B2DB79A">
      <w:pPr>
        <w:rPr>
          <w:rFonts w:hint="eastAsia"/>
        </w:rPr>
      </w:pPr>
    </w:p>
    <w:p w14:paraId="0C597918">
      <w:pP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5 结论：为AI“立心”的制度探索</w:t>
      </w:r>
    </w:p>
    <w:p w14:paraId="094149C8">
      <w:pPr>
        <w:rPr>
          <w:rFonts w:hint="eastAsia"/>
        </w:rPr>
      </w:pPr>
    </w:p>
    <w:p w14:paraId="63C598B0">
      <w:pPr>
        <w:rPr>
          <w:rFonts w:hint="eastAsia"/>
        </w:rPr>
      </w:pPr>
      <w:r>
        <w:rPr>
          <w:rFonts w:hint="eastAsia"/>
        </w:rPr>
        <w:t>《智能体规范应用与创新发展实施意见》的出台，是中国在AI治理深水区的一次标志性探索。当AI从“内容生成”迈向“行为执行”时，治理的复杂性出现了质的跃升——不仅要管住AI“说什么”，更要管住AI“做什么”，还要管好AI“替谁做决定”。在这一点上，《实施意见》通过分类分级、决策权限划分和全生命周期治理，搭建了一套既有刚性底线又有弹性空间、既促发展又保安全的治理框架。</w:t>
      </w:r>
    </w:p>
    <w:p w14:paraId="208FF09C">
      <w:pPr>
        <w:rPr>
          <w:rFonts w:hint="eastAsia"/>
        </w:rPr>
      </w:pPr>
    </w:p>
    <w:p w14:paraId="67D1F1B0">
      <w:pPr>
        <w:rPr>
          <w:rFonts w:hint="eastAsia"/>
        </w:rPr>
      </w:pPr>
      <w:r>
        <w:rPr>
          <w:rFonts w:hint="eastAsia"/>
        </w:rPr>
        <w:t>然而，制度的文本价值不等于制度的实践效度。《实施意见》中一些关键的制度细节——决策权限“三分法”适用于哪些具体场景、分类分级的门槛如何动态调整、全生命周期安全的技术标准如何落地——仍需要后续的配套细则、行业标准和执法实践来逐一填充。这是一部刚刚翻开扉页的制度建设篇章，其真正的“质量”需要在未来数年智能体规模化落地的实践中接受检验。</w:t>
      </w:r>
    </w:p>
    <w:p w14:paraId="187CBC08">
      <w:pPr>
        <w:rPr>
          <w:rFonts w:hint="eastAsia"/>
        </w:rPr>
      </w:pPr>
    </w:p>
    <w:p w14:paraId="0A8AA60F">
      <w:pPr>
        <w:rPr>
          <w:rFonts w:hint="eastAsia"/>
        </w:rPr>
      </w:pPr>
      <w:r>
        <w:rPr>
          <w:rFonts w:hint="eastAsia"/>
        </w:rPr>
        <w:t>将本文的讨论放在更长的AI治理理论脉络中审视，《实施意见》所代表的“既放得活又管得好”的治理哲学，与此前论文中讨论的“敏捷治理”“分层责任”“风险分级”等概念形成了一条清晰的理论线索。这条线索的核心主张是：AI治理的最高境界不是消灭所有风险——那既不现实也意味着创新的终结——而是建立一个能够在风险与创新之间保持动态平衡的制度有机体。《实施意见》为这一理论主张提供了制度层面的回应，也必将在智能体产业的真实演进中被不断检验、修正和完善。</w:t>
      </w:r>
    </w:p>
    <w:p w14:paraId="1216D35F">
      <w:pPr>
        <w:rPr>
          <w:rFonts w:hint="eastAsia"/>
        </w:rPr>
      </w:pPr>
    </w:p>
    <w:p w14:paraId="4C1E0F4D">
      <w:pPr>
        <w:rPr>
          <w:rFonts w:hint="eastAsia"/>
        </w:rPr>
      </w:pPr>
    </w:p>
    <w:p w14:paraId="2D07C126">
      <w:pPr>
        <w:jc w:val="cente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参考文献</w:t>
      </w:r>
    </w:p>
    <w:p w14:paraId="0226FCE9">
      <w:pPr>
        <w:rPr>
          <w:rFonts w:hint="eastAsia"/>
        </w:rPr>
      </w:pPr>
    </w:p>
    <w:p w14:paraId="161F9A25">
      <w:pPr>
        <w:rPr>
          <w:rFonts w:hint="eastAsia"/>
        </w:rPr>
      </w:pPr>
      <w:r>
        <w:rPr>
          <w:rFonts w:hint="eastAsia"/>
        </w:rPr>
        <w:t>[1] 国家互联网信息办公室, 国家发展改革委, 工业和信息化部. 智能体规范应用与创新发展实施意见[Z]. 2026-05-08.</w:t>
      </w:r>
    </w:p>
    <w:p w14:paraId="0AA05440">
      <w:pPr>
        <w:rPr>
          <w:rFonts w:hint="eastAsia"/>
        </w:rPr>
      </w:pPr>
    </w:p>
    <w:p w14:paraId="74B11994">
      <w:pPr>
        <w:rPr>
          <w:rFonts w:hint="eastAsia"/>
        </w:rPr>
      </w:pPr>
      <w:r>
        <w:rPr>
          <w:rFonts w:hint="eastAsia"/>
        </w:rPr>
        <w:t>[2] 中国网信网. 《智能体规范应用与创新发展实施意见》答记者问[EB/OL]. 2026-05-08.</w:t>
      </w:r>
    </w:p>
    <w:p w14:paraId="5AEC0861">
      <w:pPr>
        <w:rPr>
          <w:rFonts w:hint="eastAsia"/>
        </w:rPr>
      </w:pPr>
    </w:p>
    <w:p w14:paraId="671E74F5">
      <w:pPr>
        <w:rPr>
          <w:rFonts w:hint="eastAsia"/>
        </w:rPr>
      </w:pPr>
      <w:r>
        <w:rPr>
          <w:rFonts w:hint="eastAsia"/>
        </w:rPr>
        <w:t>[3] 人民邮电报. 三部门联合印发《智能体规范应用与创新发展实施意见》[N]. 2026-05-13.</w:t>
      </w:r>
    </w:p>
    <w:p w14:paraId="38401110">
      <w:pPr>
        <w:rPr>
          <w:rFonts w:hint="eastAsia"/>
        </w:rPr>
      </w:pPr>
    </w:p>
    <w:p w14:paraId="7EB55659">
      <w:pPr>
        <w:rPr>
          <w:rFonts w:hint="eastAsia"/>
        </w:rPr>
      </w:pPr>
      <w:r>
        <w:rPr>
          <w:rFonts w:hint="eastAsia"/>
        </w:rPr>
        <w:t>[4] 经济参考报. 三部门：促进智能体规范应用与创新发展[N]. 2026-05-11.</w:t>
      </w:r>
    </w:p>
    <w:p w14:paraId="6B732FAA">
      <w:pPr>
        <w:rPr>
          <w:rFonts w:hint="eastAsia"/>
        </w:rPr>
      </w:pPr>
    </w:p>
    <w:p w14:paraId="47304D6E">
      <w:pPr>
        <w:rPr>
          <w:rFonts w:hint="eastAsia"/>
        </w:rPr>
      </w:pPr>
      <w:r>
        <w:rPr>
          <w:rFonts w:hint="eastAsia"/>
        </w:rPr>
        <w:t>[5] 中国发展改革报社. 智能体正式定规，释放三大核心导向[N]. 2026-05-15.</w:t>
      </w:r>
    </w:p>
    <w:p w14:paraId="37F0D069">
      <w:pPr>
        <w:rPr>
          <w:rFonts w:hint="eastAsia"/>
        </w:rPr>
      </w:pPr>
    </w:p>
    <w:p w14:paraId="038795B5">
      <w:pPr>
        <w:rPr>
          <w:rFonts w:hint="eastAsia"/>
        </w:rPr>
      </w:pPr>
      <w:r>
        <w:rPr>
          <w:rFonts w:hint="eastAsia"/>
        </w:rPr>
        <w:t>[6] 法治日报. 明确智能体安全可靠可信产业发展底线要求[N]. 2026-05-15.</w:t>
      </w:r>
    </w:p>
    <w:p w14:paraId="0137B25E">
      <w:pPr>
        <w:rPr>
          <w:rFonts w:hint="eastAsia"/>
        </w:rPr>
      </w:pPr>
    </w:p>
    <w:p w14:paraId="58FD9236">
      <w:pPr>
        <w:rPr>
          <w:rFonts w:hint="eastAsia"/>
        </w:rPr>
      </w:pPr>
      <w:r>
        <w:rPr>
          <w:rFonts w:hint="eastAsia"/>
        </w:rPr>
        <w:t>[7] 中国网信网. 专家解读｜为智能体发展树立规范、留足空间[R]. 2026-05-08.</w:t>
      </w:r>
    </w:p>
    <w:p w14:paraId="40D98598">
      <w:pPr>
        <w:rPr>
          <w:rFonts w:hint="eastAsia"/>
        </w:rPr>
      </w:pPr>
    </w:p>
    <w:p w14:paraId="4CB11746">
      <w:pPr>
        <w:rPr>
          <w:rFonts w:hint="eastAsia"/>
        </w:rPr>
      </w:pPr>
      <w:r>
        <w:rPr>
          <w:rFonts w:hint="eastAsia"/>
        </w:rPr>
        <w:t>[8] 中国网信网. 专家解读｜顺应新一轮科技革命与产业变革趋势，推动智能体高质量发展[R]. 2026-05-08.</w:t>
      </w:r>
    </w:p>
    <w:p w14:paraId="213D451F">
      <w:pPr>
        <w:rPr>
          <w:rFonts w:hint="eastAsia"/>
        </w:rPr>
      </w:pPr>
    </w:p>
    <w:p w14:paraId="4543B9D5">
      <w:pPr>
        <w:rPr>
          <w:rFonts w:hint="eastAsia"/>
        </w:rPr>
      </w:pPr>
      <w:r>
        <w:rPr>
          <w:rFonts w:hint="eastAsia"/>
        </w:rPr>
        <w:t>[9] 中国网信网. 专家解读｜统筹高质量发展与高水平安全[R]. 2026-05-08.</w:t>
      </w:r>
    </w:p>
    <w:p w14:paraId="270F764D">
      <w:pPr>
        <w:rPr>
          <w:rFonts w:hint="eastAsia"/>
        </w:rPr>
      </w:pPr>
    </w:p>
    <w:p w14:paraId="3226E256">
      <w:pPr>
        <w:rPr>
          <w:rFonts w:hint="eastAsia"/>
        </w:rPr>
      </w:pPr>
      <w:r>
        <w:rPr>
          <w:rFonts w:hint="eastAsia"/>
        </w:rPr>
        <w:t>[10] 中国网信网. 专家解读｜把握智能体发展机遇，加快构建智能体治理体系[R]. 2026-05-09.</w:t>
      </w:r>
    </w:p>
    <w:p w14:paraId="2D6EC2B2">
      <w:pPr>
        <w:rPr>
          <w:rFonts w:hint="eastAsia"/>
        </w:rPr>
      </w:pPr>
    </w:p>
    <w:p w14:paraId="4E11053A">
      <w:pPr>
        <w:rPr>
          <w:rFonts w:hint="eastAsia"/>
        </w:rPr>
      </w:pPr>
      <w:r>
        <w:rPr>
          <w:rFonts w:hint="eastAsia"/>
        </w:rPr>
        <w:t>[11] Gartner. 2026年企业应用市场预测[R]. 2026.</w:t>
      </w:r>
    </w:p>
    <w:p w14:paraId="4EBDC371">
      <w:pPr>
        <w:rPr>
          <w:rFonts w:hint="eastAsia"/>
        </w:rPr>
      </w:pPr>
    </w:p>
    <w:p w14:paraId="18A39894">
      <w:pPr>
        <w:rPr>
          <w:rFonts w:hint="eastAsia"/>
        </w:rPr>
      </w:pPr>
      <w:r>
        <w:rPr>
          <w:rFonts w:hint="eastAsia"/>
        </w:rPr>
        <w:t>[12] 工业和信息化部等十部门. 人工智能科技伦理审查与服务办法（试行）[Z]. 工信部联科〔2026〕75号, 2026-03-20.</w:t>
      </w:r>
    </w:p>
    <w:p w14:paraId="3658559F">
      <w:pPr>
        <w:rPr>
          <w:rFonts w:hint="eastAsia"/>
        </w:rPr>
      </w:pPr>
    </w:p>
    <w:p w14:paraId="2ADAE26F">
      <w:pPr>
        <w:rPr>
          <w:rFonts w:hint="eastAsia"/>
        </w:rPr>
      </w:pPr>
      <w:r>
        <w:rPr>
          <w:rFonts w:hint="eastAsia"/>
        </w:rPr>
        <w:t>[13] 国家互联网信息办公室等五部门. 人工智能拟人化互动服务管理暂行办法[Z]. 2026-04-10.</w:t>
      </w:r>
    </w:p>
    <w:p w14:paraId="38089ACB">
      <w:pPr>
        <w:rPr>
          <w:rFonts w:hint="eastAsia"/>
        </w:rPr>
      </w:pPr>
    </w:p>
    <w:p w14:paraId="0544F392">
      <w:pPr>
        <w:rPr>
          <w:rFonts w:hint="eastAsia"/>
        </w:rPr>
      </w:pPr>
      <w:r>
        <w:rPr>
          <w:rFonts w:hint="eastAsia"/>
        </w:rPr>
        <w:t>[14] 国家互联网信息办公室等七部门. 生成式人工智能服务管理暂行办法[Z]. 2023.</w:t>
      </w:r>
    </w:p>
    <w:p w14:paraId="0E8679F6">
      <w:pPr>
        <w:rPr>
          <w:rFonts w:hint="eastAsia"/>
        </w:rPr>
      </w:pPr>
    </w:p>
    <w:p w14:paraId="493FAB3D">
      <w:r>
        <w:rPr>
          <w:rFonts w:hint="eastAsia"/>
        </w:rPr>
        <w:t>[15] 国务院. 关于深入实施“人工智能+”行动的意见[Z]. 2025.</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1D3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2026-05-23T16:39:12Z</dcterms:created>
  <dc:creator>永远健康</dc:creator>
  <cp:lastModifiedBy>WPS_1719835985</cp:lastModifiedBy>
  <dcterms:modified xsi:type="dcterms:W3CDTF">2026-05-23T17:22:43Z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58D47F75AECC4741B851F0E9FD22091C_12</vt:lpwstr>
  </property>
</Properties>
</file>