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05816">
      <w:pPr>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从“事后惩戒”到“全链管控”：“清朗·AI内容生态治理”的制度逻辑与平台责任重构</w:t>
      </w:r>
    </w:p>
    <w:p w14:paraId="56019FAF">
      <w:pPr>
        <w:rPr>
          <w:rFonts w:hint="eastAsia"/>
        </w:rPr>
      </w:pPr>
    </w:p>
    <w:p w14:paraId="69A2C986">
      <w:pPr>
        <w:rPr>
          <w:rFonts w:hint="eastAsia"/>
        </w:rPr>
      </w:pPr>
    </w:p>
    <w:p w14:paraId="7050E5DD">
      <w:pPr>
        <w:rPr>
          <w:rFonts w:hint="eastAsia"/>
        </w:rPr>
      </w:pPr>
      <w:r>
        <w:rPr>
          <w:rFonts w:hint="eastAsia"/>
        </w:rPr>
        <w:t xml:space="preserve"> AIGC使用声明</w:t>
      </w:r>
    </w:p>
    <w:p w14:paraId="00EF699E">
      <w:pPr>
        <w:rPr>
          <w:rFonts w:hint="eastAsia"/>
        </w:rPr>
      </w:pPr>
    </w:p>
    <w:p w14:paraId="4D927E1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226F0F77">
      <w:pPr>
        <w:rPr>
          <w:rFonts w:hint="eastAsia"/>
        </w:rPr>
      </w:pPr>
    </w:p>
    <w:p w14:paraId="1C6966F3">
      <w:pPr>
        <w:rPr>
          <w:rFonts w:hint="eastAsia"/>
        </w:rPr>
      </w:pPr>
    </w:p>
    <w:p w14:paraId="7B1D0C03">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摘要</w:t>
      </w:r>
    </w:p>
    <w:p w14:paraId="12D13C78">
      <w:pPr>
        <w:rPr>
          <w:rFonts w:hint="eastAsia"/>
        </w:rPr>
      </w:pPr>
    </w:p>
    <w:p w14:paraId="305C24A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31日，中央网信办启动“清朗·AI内容生态治理”专项行动，重点整治AI生成虚假新闻、AI换脸侵权内容及利用AI批量制造“网络水军”评论三大乱象，并公布首批15个典型案例。此次专项行动最核心的制度目标，是要求平台在6月底前建立AI生成内容的“全量标识+可追溯”机制。本文认为，这标志着中国AI内容治理正在完成从“事后惩戒”向“全链管控”的系统性升级——治理对象从单个违规账号延伸至平台的审核义务，治理环节从内容生成扩展至传播全链条，治理工具从行政处罚扩展至技术标识与责任追溯的深度嵌合。本文在剖析三类违规行为的生态危害后，系统梳理“全量标识+可追溯”机制的制度创新与实施挑战，并将专项行动置于中国AI治理制度谱系的演进脉络中，分析其在“伦理审查—算法备案—标识管理—传播阻断”全链条治理闭环中的关键位置。本文的核心判断是：“全量标识+可追溯”不仅是AI内容治理的技术工具，更是平台责任从被动“避风港”向主动“守门人”转型的制度枢纽。其实施效果将深刻影响中国乃至全球AI内容治理的制度走向。</w:t>
      </w:r>
    </w:p>
    <w:p w14:paraId="01DEEE1D">
      <w:pPr>
        <w:rPr>
          <w:rFonts w:hint="eastAsia"/>
        </w:rPr>
      </w:pPr>
    </w:p>
    <w:p w14:paraId="02EC1DA2">
      <w:pPr>
        <w:spacing w:line="360" w:lineRule="auto"/>
        <w:ind w:firstLine="482" w:firstLineChars="200"/>
        <w:jc w:val="left"/>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关键词：AI内容生态治理；全量标识；可追溯机制；平台责任；避风港原则；深度合成</w:t>
      </w:r>
    </w:p>
    <w:p w14:paraId="272949BC">
      <w:pPr>
        <w:rPr>
          <w:rFonts w:hint="eastAsia"/>
        </w:rPr>
      </w:pPr>
    </w:p>
    <w:p w14:paraId="6ABF655A">
      <w:pPr>
        <w:rPr>
          <w:rFonts w:hint="eastAsia"/>
        </w:rPr>
      </w:pPr>
    </w:p>
    <w:p w14:paraId="48C9F88B">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1 引言：一则虚假新闻、一场换脸直播与一篇AI水军评论</w:t>
      </w:r>
    </w:p>
    <w:p w14:paraId="76C5CE98">
      <w:pPr>
        <w:rPr>
          <w:rFonts w:hint="eastAsia"/>
        </w:rPr>
      </w:pPr>
    </w:p>
    <w:p w14:paraId="0947E3A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2026年5月，中国互联网的信息生态被三件事同时击中。</w:t>
      </w:r>
    </w:p>
    <w:p w14:paraId="3D08DE3F">
      <w:pPr>
        <w:rPr>
          <w:rFonts w:hint="eastAsia"/>
        </w:rPr>
      </w:pPr>
    </w:p>
    <w:p w14:paraId="231A348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一则由AI生成的“突发新闻速报”在社交平台被大量转发，标题耸人听闻，内容细节丰富，却在官方辟谣后被证实纯属虚构。一场直播间里，某知名演员的面孔被AI实时替换到带货主播的脸上，全程没有任何标识，数千名消费者基于对这张面孔的信任下单购买。在另一个电商平台上，某产品的评论区里，数百条语气各异、体验感十足的用户评价，全部出自同一个AI系统之手。</w:t>
      </w:r>
    </w:p>
    <w:p w14:paraId="4689012A">
      <w:pPr>
        <w:rPr>
          <w:rFonts w:hint="eastAsia"/>
        </w:rPr>
      </w:pPr>
    </w:p>
    <w:p w14:paraId="68B1BA7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三件事不是孤立的技术滥用个案，而是同一病症的三种症状：当AI内容生产工具向亿万用户开放，信息生态的制造端被彻底打通，而把关端尚未建立与之匹配的识别和阻断能力。中央网信办5月31日启动的“清朗·AI内容生态治理”专项行动，正是对这一系统性失衡的制度性回应。</w:t>
      </w:r>
    </w:p>
    <w:p w14:paraId="2EB6E217">
      <w:pPr>
        <w:rPr>
          <w:rFonts w:hint="eastAsia"/>
        </w:rPr>
      </w:pPr>
    </w:p>
    <w:p w14:paraId="7E71567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将以此次专项行动为分析对象，剖析AI内容生态失序的三重病灶，解读“全量标识+可追溯”机制的制度创新内涵，并将其置于中国AI治理制度谱系的演进脉络中，评估其在“生产—分发—消费”全链条治理闭环中的关键枢纽地位。</w:t>
      </w:r>
    </w:p>
    <w:p w14:paraId="0BF04384">
      <w:pPr>
        <w:rPr>
          <w:rFonts w:hint="eastAsia"/>
        </w:rPr>
      </w:pPr>
    </w:p>
    <w:p w14:paraId="1E4CD344">
      <w:pPr>
        <w:rPr>
          <w:rFonts w:hint="eastAsia"/>
        </w:rPr>
      </w:pPr>
    </w:p>
    <w:p w14:paraId="3F581ED3">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AI内容生态的三重病灶：虚假新闻、换脸侵权与AI水军</w:t>
      </w:r>
    </w:p>
    <w:p w14:paraId="7457A1E3">
      <w:pPr>
        <w:rPr>
          <w:rFonts w:hint="eastAsia"/>
        </w:rPr>
      </w:pPr>
    </w:p>
    <w:p w14:paraId="21ECC875">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2.1 虚假新闻：信息生态的“信用通胀”</w:t>
      </w:r>
    </w:p>
    <w:p w14:paraId="429E7678">
      <w:pPr>
        <w:rPr>
          <w:rFonts w:hint="eastAsia"/>
        </w:rPr>
      </w:pPr>
    </w:p>
    <w:p w14:paraId="32119D8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生成的虚假新闻，是当前AI内容生态中最具社会危害性的乱象之一。它的运作机制与传统谣言有本质区别。传统谣言的制造需要人力编造、手动发布，存在生产速度和传播规模的自然限制。而AI虚假新闻的生产完全自动化——大语言模型可以批量生成不同版本、不同角度、不同语气的“新闻速报”，覆盖同一事件的无数“变体”，在短时间内形成信息洪流。</w:t>
      </w:r>
    </w:p>
    <w:p w14:paraId="58E12BAA">
      <w:pPr>
        <w:rPr>
          <w:rFonts w:hint="eastAsia"/>
        </w:rPr>
      </w:pPr>
    </w:p>
    <w:p w14:paraId="460B256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虚假信息的工业化生产”使辟谣陷入结构性被动。官方辟谣一次只能澄清一个版本的虚假信息，而AI已经生成了数十个新版本，每一个版本都针对不同受众群体的信息接收习惯做了微调。“辟谣跑断腿，造谣张张嘴”的旧比喻，在AI时代变成了“辟谣追不上算法生成的下一条假新闻”。</w:t>
      </w:r>
    </w:p>
    <w:p w14:paraId="2235E840">
      <w:pPr>
        <w:rPr>
          <w:rFonts w:hint="eastAsia"/>
        </w:rPr>
      </w:pPr>
    </w:p>
    <w:p w14:paraId="6A6181F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隐蔽的损害在于信息生态的“信用通胀”。当虚假新闻充斥信息环境，公众对“真实”的辨别成本被无限推高，最终产生一种普遍的信任麻木——不再认真对待任何一条来自非官方渠道的新闻。这种信任的普遍贬值，对社会公共讨论基础的侵蚀是深远而持久的。</w:t>
      </w:r>
    </w:p>
    <w:p w14:paraId="1434EF76">
      <w:pPr>
        <w:rPr>
          <w:rFonts w:hint="eastAsia"/>
        </w:rPr>
      </w:pPr>
    </w:p>
    <w:p w14:paraId="4F582297">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2.2 换脸侵权：从“肖像冒用”到“信任资产窃取”</w:t>
      </w:r>
    </w:p>
    <w:p w14:paraId="3D62071D">
      <w:pPr>
        <w:rPr>
          <w:rFonts w:hint="eastAsia"/>
        </w:rPr>
      </w:pPr>
    </w:p>
    <w:p w14:paraId="4341CBD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AI换脸侵权是此次专项行动重点整治的第二类行为。与虚假新闻直接捏造事件不同，AI换脸侵权的手段更为精巧——它窃取的是一个真实人物的形象和信任，将其嫁接到一个虚假的商业场景中。</w:t>
      </w:r>
    </w:p>
    <w:p w14:paraId="7CFF701F">
      <w:pPr>
        <w:rPr>
          <w:rFonts w:hint="eastAsia"/>
        </w:rPr>
      </w:pPr>
    </w:p>
    <w:p w14:paraId="7465FB1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此前5月29日的李佳琦直播间AI美颜故障事件，是理解AI换脸侵权社会危害性的典型切口。当观众发现主播的脸部在直播中扭曲变形时，他们突然意识到自己每天在直播间里看到的“真人”，很可能从头到尾都是AI的实时合成输出。这种“所见非所得”的信任瓦解，一旦形成社会认知，对直播电商这一高度依赖信任中介的商业模式将产生不可逆的损害。</w:t>
      </w:r>
    </w:p>
    <w:p w14:paraId="7751E4B7">
      <w:pPr>
        <w:rPr>
          <w:rFonts w:hint="eastAsia"/>
        </w:rPr>
      </w:pPr>
    </w:p>
    <w:p w14:paraId="5178BFE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深层的问题在于，AI换脸侵权同时侵犯了多个法益：被换脸者的肖像权、人格权，消费者的知情权和公平交易权，以及平台的信息生态健康。三种侵害在同一技术行为中叠加，而现行法律体系对此类复合型侵权的规制尚处于探索阶段。专项行动选择将AI换脸侵权列为重点打击对象，正是对这一法律空白领域的行政性补位。</w:t>
      </w:r>
    </w:p>
    <w:p w14:paraId="2802B538">
      <w:pPr>
        <w:rPr>
          <w:rFonts w:hint="eastAsia"/>
        </w:rPr>
      </w:pPr>
    </w:p>
    <w:p w14:paraId="1B23AE8D">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2.3 AI水军：市场秩序与公共舆论的双重侵蚀</w:t>
      </w:r>
    </w:p>
    <w:p w14:paraId="0B6DE71E">
      <w:pPr>
        <w:rPr>
          <w:rFonts w:hint="eastAsia"/>
        </w:rPr>
      </w:pPr>
    </w:p>
    <w:p w14:paraId="1232462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利用AI批量制造“网络水军”评论，是三类违规行为中隐蔽性最强、但生态危害最持久的形态。</w:t>
      </w:r>
    </w:p>
    <w:p w14:paraId="27CA41DC">
      <w:pPr>
        <w:rPr>
          <w:rFonts w:hint="eastAsia"/>
        </w:rPr>
      </w:pPr>
      <w:r>
        <w:rPr>
          <w:rFonts w:hint="default" w:ascii="宋体" w:hAnsi="宋体" w:eastAsia="宋体" w:cs="宋体"/>
          <w:kern w:val="2"/>
          <w:sz w:val="24"/>
          <w:szCs w:val="24"/>
          <w:lang w:val="en-US" w:eastAsia="zh-CN" w:bidi="ar-SA"/>
        </w:rPr>
        <w:t>传统水军依赖人力操控——雇佣真人注册多个账号，手动发布评论，成本较高且效率有限。AI水军则实现了评论生产的全面自动化。同一个AI系统可以在短时间内生成数百条语气、风格、关注点各异的评论，模拟真实用户的使用体验和情感表达。从单条评论的文本质量来看，AI生成的内容与真人评论几乎无法分辨。</w:t>
      </w:r>
    </w:p>
    <w:p w14:paraId="09380F29">
      <w:pPr>
        <w:rPr>
          <w:rFonts w:hint="eastAsia"/>
        </w:rPr>
      </w:pPr>
    </w:p>
    <w:p w14:paraId="09611AB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深度伪装”对市场秩序和公共舆论构成双重侵蚀。在消费领域，AI水军通过制造虚假的“用户评价共识”来影响消费者的购买决策，本质上是一种系统性的消费欺诈。在公共舆论领域，AI水军则可以被用于制造虚假的舆论风向，干扰公众对公共事件的独立判断。此次专项行动中公开的部分案例显示，某些营销公司已在常规化运营大规模AI水军系统，其覆盖范围之广、评论生成效率之高，远超此前舆论场的普遍认知。</w:t>
      </w:r>
    </w:p>
    <w:p w14:paraId="418004D8">
      <w:pPr>
        <w:rPr>
          <w:rFonts w:hint="eastAsia"/>
        </w:rPr>
      </w:pPr>
    </w:p>
    <w:p w14:paraId="7ACB857F">
      <w:pPr>
        <w:rPr>
          <w:rFonts w:hint="eastAsia"/>
        </w:rPr>
      </w:pPr>
    </w:p>
    <w:p w14:paraId="649998B1">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3 “全量标识+可追溯”：制度创新的内涵与挑战</w:t>
      </w:r>
    </w:p>
    <w:p w14:paraId="30E0E91B">
      <w:pPr>
        <w:rPr>
          <w:rFonts w:hint="eastAsia"/>
        </w:rPr>
      </w:pPr>
    </w:p>
    <w:p w14:paraId="27B73DBC">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3.1 制度设计的内在逻辑</w:t>
      </w:r>
    </w:p>
    <w:p w14:paraId="3E797982">
      <w:pPr>
        <w:rPr>
          <w:rFonts w:hint="eastAsia"/>
        </w:rPr>
      </w:pPr>
    </w:p>
    <w:p w14:paraId="39A804D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专项行动最核心的制度建设目标，是要求平台在6月底前建立AI生成内容的“全量标识+可追溯”机制。</w:t>
      </w:r>
    </w:p>
    <w:p w14:paraId="255C6689">
      <w:pPr>
        <w:rPr>
          <w:rFonts w:hint="eastAsia"/>
        </w:rPr>
      </w:pPr>
    </w:p>
    <w:p w14:paraId="4A86982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全量标识”意味着标识义务的全面扩展。此前，《深度合成管理规定》要求对深度合成内容进行标识，但实践中存在标识范围不清晰、标识方式不统一、执行力度参差不齐等问题。许多平台仅在特定类型的内容上添加AI标识，而大量AI辅助生成但未达到“深度合成”标准的内容则处于标识的灰色地带。“全量标识”将这一义务扩展至所有通过平台传播的AI生成或辅助生成内容，从制度上消除了选择性标识的模糊空间。</w:t>
      </w:r>
    </w:p>
    <w:p w14:paraId="17EA6DB1">
      <w:pPr>
        <w:rPr>
          <w:rFonts w:hint="eastAsia"/>
        </w:rPr>
      </w:pPr>
    </w:p>
    <w:p w14:paraId="2309959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可追溯”则是一项更为深层的制度安排。它要求每一条AI生成内容在技术层面嵌入不可篡改的元数据——包括生成工具、生成时间、发布者身份等关键信息。追溯不同于标识——标识告诉用户“这是AI生成的”，追溯告诉监管部门“这是谁用哪个工具在什么时候生成的”。前者解决知情权问题，后者解决责任归属问题。两者共同构成一个从信息透明到责任追踪的完整制度链条。</w:t>
      </w:r>
    </w:p>
    <w:p w14:paraId="4A5FCCE4">
      <w:pPr>
        <w:rPr>
          <w:rFonts w:hint="eastAsia"/>
        </w:rPr>
      </w:pPr>
    </w:p>
    <w:p w14:paraId="30364851">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3.2 技术落地与标准统一的双重挑战</w:t>
      </w:r>
    </w:p>
    <w:p w14:paraId="73599EF3">
      <w:pPr>
        <w:rPr>
          <w:rFonts w:hint="eastAsia"/>
        </w:rPr>
      </w:pPr>
    </w:p>
    <w:p w14:paraId="51E1588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制度的有效性取决于执行的可行性。建立“全量标识+可追溯”机制面临着两个层面的实施挑战。</w:t>
      </w:r>
    </w:p>
    <w:p w14:paraId="273712CF">
      <w:pPr>
        <w:rPr>
          <w:rFonts w:hint="eastAsia"/>
        </w:rPr>
      </w:pPr>
    </w:p>
    <w:p w14:paraId="5CE6EA5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技术层面，AI生成内容涉及多种内容形态——文本、图像、音频、视频——每一种形态的标识嵌入技术方案各不相同。文本的元数据嵌入相对成熟，已有多种技术标准可供选用。但音视频内容的实时标识嵌入，尤其是直播等实时传播场景中的元数据注入，在技术上仍存在瓶颈。如何在不断刷新、实时传输的视频流中嵌入不可篡改的元数据信息，需要平台在编码、传输、播放全链路进行技术改造。</w:t>
      </w:r>
    </w:p>
    <w:p w14:paraId="4EE47F1D">
      <w:pPr>
        <w:rPr>
          <w:rFonts w:hint="eastAsia"/>
        </w:rPr>
      </w:pPr>
    </w:p>
    <w:p w14:paraId="4DE9E7C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制度层面，不同平台之间的标识标准统一是另一个关键挑战。如果各平台采用各自独立的标识方案，跨平台的AI内容追溯将面临互操作障碍。一条在A平台生成的AI虚假信息，在传播链条中经过B平台、C平台的多次转发和再加工后，能否依然保持元数据的完整性和可读性，取决于全行业统一标准的建立。专项行动设定了6月底的时间节点，这意味着平台的技术改造和行业标准统一需要在极短时间内同步完成，这对监管协调能力和行业协同意愿都构成考验。</w:t>
      </w:r>
    </w:p>
    <w:p w14:paraId="16B51D44">
      <w:pPr>
        <w:rPr>
          <w:rFonts w:hint="eastAsia"/>
        </w:rPr>
      </w:pPr>
    </w:p>
    <w:p w14:paraId="6B6E71A6">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0"/>
          <w:szCs w:val="24"/>
          <w:lang w:val="en-US" w:eastAsia="zh-CN" w:bidi="ar-SA"/>
        </w:rPr>
        <w:t xml:space="preserve"> 3.3 平台责任的范式转换：从“避风港”到“守门人”</w:t>
      </w:r>
    </w:p>
    <w:p w14:paraId="1B45675B">
      <w:pPr>
        <w:rPr>
          <w:rFonts w:hint="eastAsia"/>
        </w:rPr>
      </w:pPr>
    </w:p>
    <w:p w14:paraId="50E44FC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“全量标识+可追溯”机制的深层制度意涵，在于它正在推动平台责任的一次范式转换。</w:t>
      </w:r>
    </w:p>
    <w:p w14:paraId="0FB6335F">
      <w:pPr>
        <w:rPr>
          <w:rFonts w:hint="eastAsia"/>
        </w:rPr>
      </w:pPr>
    </w:p>
    <w:p w14:paraId="2912AF7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传统的信息内容治理框架中，平台依赖“避风港原则”豁免主动审核义务——只要在接到权利人通知后及时删除侵权内容，平台即可免于承担连带责任。这一原则在互联网发展的早期阶段发挥了积极的制度功能——它为平台提供了一个在技术与法律之间安全运营的空间，避免了因海量用户生成内容而承担无限连带责任的风险。</w:t>
      </w:r>
    </w:p>
    <w:p w14:paraId="2CF79D64">
      <w:pPr>
        <w:rPr>
          <w:rFonts w:hint="eastAsia"/>
        </w:rPr>
      </w:pPr>
    </w:p>
    <w:p w14:paraId="25E9FCA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在AI内容生成时代，“避风港原则”的制度前提正在被技术现实所侵蚀。传统时代，平台面对的是用户生成内容——生产速度受限于人力，侵权行为的识别相对可操作。AI时代，平台面对的是机器生成内容——生产速度几乎没有上限，侵权行为的规模、速度和隐蔽性超出了“通知—删除”机制的能力边界。当侵权内容的生成速度远超人工删除的操作速度时，“避风港”就不再是合理的制度安排，而变成了放任侵权行为的制度庇护。</w:t>
      </w:r>
    </w:p>
    <w:p w14:paraId="378EC6D6">
      <w:pPr>
        <w:rPr>
          <w:rFonts w:hint="eastAsia"/>
        </w:rPr>
      </w:pPr>
    </w:p>
    <w:p w14:paraId="676A0FE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全量标识+可追溯”机制通过将标识义务从用户端转移到平台端，要求平台在内容发布的关口就完成AI属性的识别和标记，对平台课以了从被动响应到主动识别的义务升级。这一转型的实质，是将平台的角色从信息流动的“中立管道”重新定义为信息生态的“守门人”——平台不再只是坐等权利人举报然后删除，而是必须在自己掌握的技术关口上主动对AI生成内容进行筛查、标识和追溯。专项行动中多家平台因“审核把关不严”被处以罚款和功能暂停，正是这一责任范式转换的执法实践。</w:t>
      </w:r>
    </w:p>
    <w:p w14:paraId="02DCC891">
      <w:pPr>
        <w:rPr>
          <w:rFonts w:hint="eastAsia"/>
        </w:rPr>
      </w:pPr>
    </w:p>
    <w:p w14:paraId="57616B3D">
      <w:pPr>
        <w:rPr>
          <w:rFonts w:hint="eastAsia"/>
        </w:rPr>
      </w:pPr>
    </w:p>
    <w:p w14:paraId="49609864">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制度拼图：“全链管控”闭环的形成</w:t>
      </w:r>
    </w:p>
    <w:p w14:paraId="70F953A0">
      <w:pPr>
        <w:rPr>
          <w:rFonts w:hint="eastAsia"/>
        </w:rPr>
      </w:pPr>
    </w:p>
    <w:p w14:paraId="451791F8">
      <w:pPr>
        <w:rPr>
          <w:rFonts w:hint="eastAsia"/>
        </w:rPr>
      </w:pPr>
      <w:r>
        <w:rPr>
          <w:rFonts w:hint="eastAsia"/>
        </w:rPr>
        <w:t xml:space="preserve"> 4.1 从“研发—生成—传播”的三段式治理</w:t>
      </w:r>
    </w:p>
    <w:p w14:paraId="4EC8FD75">
      <w:pPr>
        <w:rPr>
          <w:rFonts w:hint="eastAsia"/>
        </w:rPr>
      </w:pPr>
    </w:p>
    <w:p w14:paraId="03B6D5B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专项行动的出台，使中国AI内容治理的“全链管控”闭环更加清晰。</w:t>
      </w:r>
    </w:p>
    <w:p w14:paraId="5026BD38">
      <w:pPr>
        <w:rPr>
          <w:rFonts w:hint="eastAsia"/>
        </w:rPr>
      </w:pPr>
    </w:p>
    <w:p w14:paraId="4755577D">
      <w:pPr>
        <w:spacing w:line="360" w:lineRule="auto"/>
        <w:ind w:firstLine="482" w:firstLineChars="200"/>
        <w:jc w:val="left"/>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在研发环节，以《人工智能科技伦理审查与服务办法》为核心的伦理审查制度，要求AI开发者在技术源头进行风险评估和伦理把关。在生成环节，以算法备案制度和深度合成标识制度为核心，对AI模型的输出进行中端管理。在传播环节，以此次专项行动建立的“全量标识+可追溯”机制为核心，对AI生成内容的扩散进行末端治理。这三个环节的制度工具从点状分布逐步走向系统衔接，形成了覆盖AI内容“生产—分发—消费”全生命周期的制度闭环。</w:t>
      </w:r>
    </w:p>
    <w:p w14:paraId="73231AEA">
      <w:pPr>
        <w:rPr>
          <w:rFonts w:hint="eastAsia"/>
        </w:rPr>
      </w:pPr>
    </w:p>
    <w:p w14:paraId="50ED98A9">
      <w:pPr>
        <w:spacing w:line="360" w:lineRule="auto"/>
        <w:ind w:firstLine="422" w:firstLineChars="200"/>
        <w:jc w:val="left"/>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4.2 与《人工智能安全法（草案）》的政策接力</w:t>
      </w:r>
    </w:p>
    <w:p w14:paraId="280C0DE1">
      <w:pPr>
        <w:rPr>
          <w:rFonts w:hint="eastAsia"/>
        </w:rPr>
      </w:pPr>
    </w:p>
    <w:p w14:paraId="7A017905">
      <w:pPr>
        <w:rPr>
          <w:rFonts w:hint="eastAsia"/>
        </w:rPr>
      </w:pPr>
      <w:r>
        <w:rPr>
          <w:rFonts w:hint="default" w:ascii="宋体" w:hAnsi="宋体" w:eastAsia="宋体" w:cs="宋体"/>
          <w:b/>
          <w:bCs/>
          <w:kern w:val="2"/>
          <w:sz w:val="24"/>
          <w:szCs w:val="24"/>
          <w:lang w:val="en-US" w:eastAsia="zh-CN" w:bidi="ar-SA"/>
        </w:rPr>
        <w:t>此次专项行动的启动时间，恰好处于国务院审议通过《人工智能安全法（草案）》并提请全国人大常委会审议的立法窗口期。草案中拟设定的“文件头嵌入不可篡改元数据”的强制性条款，与专项行动中“全量标识+可追溯”机制形成清晰的政策接力关系——专项治理行动在行政监管层面率先推动核心制度的实践运行，为后续法律的正式实施积累操作经验、检验技术方案的可行性。</w:t>
      </w:r>
    </w:p>
    <w:p w14:paraId="11D457FC">
      <w:pPr>
        <w:rPr>
          <w:rFonts w:hint="eastAsia"/>
        </w:rPr>
      </w:pPr>
    </w:p>
    <w:p w14:paraId="425DC50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行政先行、立法跟进”的制度推进节奏，延续了中国在互联网治理多个领域中的经验。当技术发展速度超过立法周期所能覆盖的时间窗口，行政监管可以通过更灵活、更快速的方式先行介入，在积累足够的实践经验后，再将成熟的制度安排上升为法律规范。专项行动与法律草案之间的紧密呼应，正是这一治理逻辑在AI内容生态领域的最新实践。</w:t>
      </w:r>
    </w:p>
    <w:p w14:paraId="59033A31">
      <w:pPr>
        <w:rPr>
          <w:rFonts w:hint="eastAsia"/>
        </w:rPr>
      </w:pPr>
    </w:p>
    <w:p w14:paraId="723F8D84">
      <w:pPr>
        <w:rPr>
          <w:rFonts w:hint="eastAsia"/>
        </w:rPr>
      </w:pPr>
    </w:p>
    <w:p w14:paraId="589A64F2">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5 结论：技术关口前移与人类信息生态的守门人</w:t>
      </w:r>
    </w:p>
    <w:p w14:paraId="01424D4B">
      <w:pPr>
        <w:rPr>
          <w:rFonts w:hint="eastAsia"/>
        </w:rPr>
      </w:pPr>
    </w:p>
    <w:p w14:paraId="693DBE0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清朗·AI内容生态治理”专项行动的启动，是中国AI内容治理从分散整治走向系统管控的标志性节点。它以“全量标识+可追溯”为核心制度工具，将AI生成内容的治理关口从传播末端前移至发布节点，完成了平台责任从被动“避风港”到主动“守门人”的范式转换。</w:t>
      </w:r>
    </w:p>
    <w:p w14:paraId="35F0043A">
      <w:pPr>
        <w:rPr>
          <w:rFonts w:hint="eastAsia"/>
        </w:rPr>
      </w:pPr>
    </w:p>
    <w:p w14:paraId="520E34E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转变的深层意义，在于它对“技术中立”这一经典抗辩做出了限定性的制度回应。在AI生成内容大规模涌入信息生态的时代，平台不能再以“我们只是提供信息存储空间”为由豁免对AI虚假信息的识别义务。当技术赋予了平台强大的内容分发和算法推荐能力，平台同时也应当承担起与这种能力相匹配的信息生态守护责任。</w:t>
      </w:r>
    </w:p>
    <w:p w14:paraId="687F20EC">
      <w:pPr>
        <w:rPr>
          <w:rFonts w:hint="eastAsia"/>
        </w:rPr>
      </w:pPr>
    </w:p>
    <w:p w14:paraId="5547B96B">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治理的终极难题，不是在技术完全成熟后如何收拾残局，而是在技术仍在高速演进的过程中，如何在每一个失控风险刚刚萌芽时就建立有效的阻断机制。专项行动的价值，正是它在AI内容生态失序与制度回应之间抢回了一段宝贵的时间差。在通往AI信息生态的良性治理之路上，“全量标识+可追溯”机制的落实效果将是一块关键的试金石。</w:t>
      </w:r>
    </w:p>
    <w:p w14:paraId="3667F5F5">
      <w:pPr>
        <w:rPr>
          <w:rFonts w:hint="eastAsia"/>
        </w:rPr>
      </w:pPr>
    </w:p>
    <w:p w14:paraId="64E1D933">
      <w:pPr>
        <w:rPr>
          <w:rFonts w:hint="eastAsia"/>
        </w:rPr>
      </w:pPr>
    </w:p>
    <w:p w14:paraId="7911ABCC">
      <w:pPr>
        <w:jc w:val="left"/>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参考文献</w:t>
      </w:r>
    </w:p>
    <w:p w14:paraId="73D25736">
      <w:pPr>
        <w:rPr>
          <w:rFonts w:hint="eastAsia"/>
        </w:rPr>
      </w:pPr>
    </w:p>
    <w:p w14:paraId="6B869023">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中央网信办. “清朗·AI内容生态治理”专项行动启动[EB/OL]. 2026-05-31.</w:t>
      </w:r>
    </w:p>
    <w:p w14:paraId="1B1942D4">
      <w:pPr>
        <w:rPr>
          <w:rFonts w:hint="eastAsia"/>
        </w:rPr>
      </w:pPr>
    </w:p>
    <w:p w14:paraId="3BBDC2D8">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新华社. 首批15个违规案例公布[EB/OL]. 2026-05-31.</w:t>
      </w:r>
    </w:p>
    <w:p w14:paraId="01CA754E">
      <w:pPr>
        <w:rPr>
          <w:rFonts w:hint="eastAsia"/>
        </w:rPr>
      </w:pPr>
    </w:p>
    <w:p w14:paraId="04F7740A">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国家互联网信息办公室等. 互联网信息服务深度合成管理规定[Z]. 2023.</w:t>
      </w:r>
    </w:p>
    <w:p w14:paraId="0D7C9AB6">
      <w:pPr>
        <w:rPr>
          <w:rFonts w:hint="eastAsia"/>
        </w:rPr>
      </w:pPr>
    </w:p>
    <w:p w14:paraId="17A60483">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[4] 国务院常务会议. 审议通过《人工智能安全法（草案）》[EB/OL]. 2026-05-30.</w:t>
      </w:r>
    </w:p>
    <w:p w14:paraId="46C9BA75">
      <w:pPr>
        <w:rPr>
          <w:rFonts w:hint="eastAsia"/>
        </w:rPr>
      </w:pPr>
    </w:p>
    <w:p w14:paraId="288BC6A7">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[5] 工业和信息化部等十部门. 人工智能科技伦理审查与服务办法（试行）[Z]. 2026-03.</w:t>
      </w:r>
    </w:p>
    <w:p w14:paraId="2C0EE27E">
      <w:pPr>
        <w:rPr>
          <w:rFonts w:hint="eastAsia"/>
        </w:rPr>
      </w:pPr>
    </w:p>
    <w:p w14:paraId="1F9025BF">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[6] 重庆市两江新区市场监管局. 关于查处全市首例AI虚假广告案的通报[EB/OL]. 2026-05-21.</w:t>
      </w:r>
    </w:p>
    <w:p w14:paraId="0DCC088E">
      <w:pPr>
        <w:rPr>
          <w:rFonts w:hint="eastAsia"/>
        </w:rPr>
      </w:pPr>
    </w:p>
    <w:p w14:paraId="45AC5BBC">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[7] 中央网信办. “清朗·整治AI应用乱象”专项行动[EB/OL]. 2026-05.</w:t>
      </w:r>
    </w:p>
    <w:p w14:paraId="14F338DF">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rPr>
        <w:t>[</w:t>
      </w:r>
      <w:r>
        <w:rPr>
          <w:rFonts w:hint="default" w:ascii="宋体" w:hAnsi="宋体" w:eastAsia="宋体" w:cs="宋体"/>
          <w:kern w:val="2"/>
          <w:sz w:val="24"/>
          <w:szCs w:val="24"/>
          <w:lang w:val="en-US" w:eastAsia="zh-CN" w:bidi="ar-SA"/>
        </w:rPr>
        <w:t>[8] European Commission. The EU Artificial Intelligence Act（Regulation 2024/1689）[Z]. 2024.</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A87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2026-05-31T08:53:44Z</dcterms:created>
  <dc:creator>永远健康</dc:creator>
  <cp:lastModifiedBy>WPS_1719835985</cp:lastModifiedBy>
  <dcterms:modified xsi:type="dcterms:W3CDTF">2026-05-31T09:01:47Z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4482C79F209A4954989EDDA0C3F2A513_12</vt:lpwstr>
  </property>
</Properties>
</file>