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F63EF">
      <w:pPr>
        <w:spacing w:before="480" w:beforeAutospacing="0" w:after="360" w:afterAutospacing="0"/>
        <w:jc w:val="center"/>
        <w:rPr>
          <w:rFonts w:asciiTheme="minorHAnsi" w:hAnsiTheme="minorHAnsi" w:eastAsiaTheme="minorEastAsia" w:cstheme="minorBidi"/>
          <w:kern w:val="2"/>
          <w:sz w:val="56"/>
          <w:szCs w:val="56"/>
          <w:lang w:val="en-US" w:eastAsia="zh-CN" w:bidi="ar-SA"/>
        </w:rPr>
      </w:pPr>
      <w:r>
        <w:rPr>
          <w:rFonts w:hint="eastAsia" w:asciiTheme="minorHAnsi" w:hAnsiTheme="minorHAnsi" w:eastAsiaTheme="minorEastAsia" w:cstheme="minorBidi"/>
          <w:kern w:val="2"/>
          <w:sz w:val="56"/>
          <w:szCs w:val="56"/>
          <w:lang w:val="en-US" w:eastAsia="zh-CN" w:bidi="ar-SA"/>
        </w:rPr>
        <w:t xml:space="preserve"> 收缩中的扩张：PMI连续三月低于荣枯线的结构性解读</w:t>
      </w:r>
    </w:p>
    <w:p w14:paraId="3FEB6552">
      <w:pPr>
        <w:rPr>
          <w:rFonts w:hint="eastAsia"/>
        </w:rPr>
      </w:pPr>
    </w:p>
    <w:p w14:paraId="530F139D">
      <w:pPr>
        <w:rPr>
          <w:rFonts w:hint="eastAsia" w:eastAsiaTheme="minorEastAsia"/>
          <w:lang w:eastAsia="zh-CN"/>
        </w:rPr>
      </w:pPr>
      <w:r>
        <w:rPr>
          <w:rFonts w:hint="eastAsia"/>
        </w:rPr>
        <w:t>AIGC使用声明</w:t>
      </w:r>
    </w:p>
    <w:p w14:paraId="2F6B02F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2F04B331">
      <w:pPr>
        <w:rPr>
          <w:rFonts w:hint="eastAsia"/>
        </w:rPr>
      </w:pPr>
    </w:p>
    <w:p w14:paraId="0548BD07">
      <w:pPr>
        <w:rPr>
          <w:rFonts w:hint="eastAsia"/>
        </w:rPr>
      </w:pPr>
    </w:p>
    <w:p w14:paraId="4485C4E8">
      <w:pPr>
        <w:spacing w:before="240" w:beforeAutospacing="0" w:after="120" w:afterAutospacing="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摘要</w:t>
      </w:r>
    </w:p>
    <w:p w14:paraId="3DD071F3">
      <w:pPr>
        <w:rPr>
          <w:rFonts w:hint="eastAsia"/>
        </w:rPr>
      </w:pPr>
    </w:p>
    <w:p w14:paraId="5580F7E0">
      <w:pPr>
        <w:spacing w:before="120" w:beforeAutospacing="0" w:after="24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30日，国家统计局发布5月PMI数据。制造业PMI为49.6%，连续第三个月位于荣枯线下方，但降幅较前两个月明显收窄。与此同时，高技术制造业PMI为53.2%，高端装备、生物医药、新能源汽车等行业均处于明确的扩张区间。本文认为，5月PMI数据所呈现的图景不是“全面收缩”，而是“收缩中的分化”——传统动能的衰减与新质生产力的扩张在同一个统计数字中并行。这种结构性分化揭示了当前中国制造业的深层转型逻辑：新质生产力战略正在从政策话语转化为统计数据的微观验证。但分化同时意味着阵痛——中小型企业景气度持续走低、从业人员指数连续收缩、原材料成本与出厂价格的“剪刀差”侵蚀企业利润，这些信号提示总量扩张的恢复仍需政策面持续发力。本文在解读5月PMI数据的结构性特征后，将其置于近期密集出台的统一大市场建设、稳岗扩容等政策框架中进行分析，论证新质生产力相关行业的逆势扩张并非短期波动的偶然结果，而是产业政策长期牵引下的结构性趋势，但这一趋势的巩固与扩散，仍取决于需求端能否获得有效支撑。</w:t>
      </w:r>
    </w:p>
    <w:p w14:paraId="2AC76E91">
      <w:pPr>
        <w:rPr>
          <w:rFonts w:hint="eastAsia"/>
        </w:rPr>
      </w:pPr>
    </w:p>
    <w:p w14:paraId="1C7C3856">
      <w:pPr>
        <w:spacing w:before="120" w:beforeAutospacing="0" w:after="240" w:afterAutospacing="0"/>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24"/>
          <w:szCs w:val="24"/>
          <w:lang w:val="en-US" w:eastAsia="zh-CN" w:bidi="ar-SA"/>
        </w:rPr>
        <w:t>关键词：PMI；制造业；新质生产力；结构性分化；高技术制造业；政策协同</w:t>
      </w:r>
    </w:p>
    <w:p w14:paraId="1E5D38C8">
      <w:pPr>
        <w:rPr>
          <w:rFonts w:hint="eastAsia"/>
        </w:rPr>
      </w:pPr>
    </w:p>
    <w:p w14:paraId="49D90F3C">
      <w:pPr>
        <w:rPr>
          <w:rFonts w:hint="eastAsia"/>
        </w:rPr>
      </w:pPr>
    </w:p>
    <w:p w14:paraId="0F0CA974">
      <w:pPr>
        <w:spacing w:before="360" w:beforeAutospacing="0" w:after="240" w:afterAutospacing="0"/>
        <w:jc w:val="left"/>
        <w:rPr>
          <w:rFonts w:asciiTheme="minorHAnsi" w:hAnsiTheme="minorHAnsi" w:eastAsiaTheme="minorEastAsia" w:cstheme="minorBidi"/>
          <w:kern w:val="2"/>
          <w:sz w:val="21"/>
          <w:szCs w:val="24"/>
          <w:lang w:val="en-US" w:eastAsia="zh-CN" w:bidi="ar-SA"/>
        </w:rPr>
      </w:pPr>
      <w:bookmarkStart w:id="0" w:name="_GoBack"/>
      <w:r>
        <w:rPr>
          <w:rFonts w:hint="eastAsia" w:asciiTheme="minorHAnsi" w:hAnsiTheme="minorHAnsi" w:eastAsiaTheme="minorEastAsia" w:cstheme="minorBidi"/>
          <w:kern w:val="2"/>
          <w:sz w:val="21"/>
          <w:szCs w:val="24"/>
          <w:lang w:val="en-US" w:eastAsia="zh-CN" w:bidi="ar-SA"/>
        </w:rPr>
        <w:t xml:space="preserve"> 1 引言：一个数字，两种叙事</w:t>
      </w:r>
    </w:p>
    <w:bookmarkEnd w:id="0"/>
    <w:p w14:paraId="261CE355">
      <w:pPr>
        <w:rPr>
          <w:rFonts w:hint="eastAsia"/>
        </w:rPr>
      </w:pPr>
    </w:p>
    <w:p w14:paraId="506CC36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2026年5月30日，国家统计局照例发布上月的采购经理指数。制造业PMI定格在49.6%——连续第三个月处于50%荣枯线下方。</w:t>
      </w:r>
    </w:p>
    <w:p w14:paraId="483BD0D8">
      <w:pPr>
        <w:rPr>
          <w:rFonts w:hint="eastAsia"/>
        </w:rPr>
      </w:pPr>
    </w:p>
    <w:p w14:paraId="5ED4F87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对同一个数字，可以有两种截然不同的解读方式。悲观者可以拿出新订单指数连续收缩、小型企业PMI仍在走低、从业人员指数持续下探的证据，论证制造业复苏的基础远未稳固，下行压力仍在累积。乐观者可以拿出高技术制造业PMI 53.2%、新能源汽车相关产业53.6%、降幅较前两个月明显收窄的证据，论证新动能正在积蓄、制造业正在“磨底”蓄力。两种叙事各有数据支撑，但都不完整。</w:t>
      </w:r>
    </w:p>
    <w:p w14:paraId="5F671429">
      <w:pPr>
        <w:rPr>
          <w:rFonts w:hint="eastAsia"/>
        </w:rPr>
      </w:pPr>
    </w:p>
    <w:p w14:paraId="1A98FA2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试图给出第三种解读：5月PMI数据不是全面收缩，不是全面复苏，而是“收缩中的扩张”——传统动能的衰减与新质生产力的扩张在同一个统计数字中并行不悖。将这两种完全相反的结构性力量平均化之后得到的49.6%，是一个在统计意义上有意义、在经济意义上具有误导性的数字。它掩盖了制造业内部正在发生的深刻分化，也压制了政策制定者本应更早捕捉到的结构性信号。</w:t>
      </w:r>
    </w:p>
    <w:p w14:paraId="17FA2073">
      <w:pPr>
        <w:rPr>
          <w:rFonts w:hint="eastAsia"/>
        </w:rPr>
      </w:pPr>
    </w:p>
    <w:p w14:paraId="28AA7D1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将首先拆解5月PMI数据的分项结构，揭示“收缩”与“扩张”并存的真实图景；然后聚焦新质生产力相关行业的逆势扩张，分析其从政策概念到统计现实的转化路径；最后将PMI数据置于近期密集出台的宏观政策框架中，探讨短期波动与长期结构调整之间的制度衔接。</w:t>
      </w:r>
    </w:p>
    <w:p w14:paraId="261A79BA">
      <w:pPr>
        <w:rPr>
          <w:rFonts w:hint="eastAsia"/>
        </w:rPr>
      </w:pPr>
    </w:p>
    <w:p w14:paraId="19530988">
      <w:pPr>
        <w:rPr>
          <w:rFonts w:hint="eastAsia"/>
        </w:rPr>
      </w:pPr>
    </w:p>
    <w:p w14:paraId="6E2AB37D">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2 拆解49.6%：“收缩”与“扩张”并存的真实图景</w:t>
      </w:r>
    </w:p>
    <w:p w14:paraId="38739E56">
      <w:pPr>
        <w:rPr>
          <w:rFonts w:hint="eastAsia"/>
        </w:rPr>
      </w:pPr>
    </w:p>
    <w:p w14:paraId="17258E4F">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2.1 需求侧的持续疲弱</w:t>
      </w:r>
    </w:p>
    <w:p w14:paraId="2989F2DA">
      <w:pPr>
        <w:rPr>
          <w:rFonts w:hint="eastAsia"/>
        </w:rPr>
      </w:pPr>
    </w:p>
    <w:p w14:paraId="54C4DD6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将49.6%拆解到分项指数，制造业最核心的隐忧集中在新订单指数上。</w:t>
      </w:r>
    </w:p>
    <w:p w14:paraId="797CC342">
      <w:pPr>
        <w:rPr>
          <w:rFonts w:hint="eastAsia"/>
        </w:rPr>
      </w:pPr>
    </w:p>
    <w:p w14:paraId="3531517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月新订单指数为48.9%，较上月下降0.2个百分点，连续第三个月处于收缩区间。新订单是PMI分项指数中最具先行指标意义的成分——它反映的是未来的生产而非过去的生产，是需求的意愿而非供给的能力。新订单持续低于荣枯线，意味着制造业企业接到的订单在逐月减少，而生产指数（50.3%）仍勉强维持在扩张区间，这之间的“产需缺口”正在扩大。企业正在生产尚未被市场充分消化的产品，库存压力在无声累积。</w:t>
      </w:r>
    </w:p>
    <w:p w14:paraId="5914896E">
      <w:pPr>
        <w:rPr>
          <w:rFonts w:hint="eastAsia"/>
        </w:rPr>
      </w:pPr>
    </w:p>
    <w:p w14:paraId="4D0C0ED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深层的问题在于，新订单指数的持续走弱与近期宏观政策的主攻方向形成了一种张力。从国务院常务会议“三个纵深”推进全国统一大市场建设，到“六张网”基础设施投资持续发力，政策端对需求的牵引力度不可谓不大。但新订单指数的持续低位表明，政策推动的基建需求未能完全对冲消费端和出口端的疲弱。制造业面对的不是单一需求来源的波动，而是消费、出口、投资三方需求的同步承压。这种多源需求的叠加疲弱，是当前制造业走出收缩区间最核心的障碍。</w:t>
      </w:r>
    </w:p>
    <w:p w14:paraId="72E51954">
      <w:pPr>
        <w:rPr>
          <w:rFonts w:hint="eastAsia"/>
        </w:rPr>
      </w:pPr>
    </w:p>
    <w:p w14:paraId="497E374B">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2.2 成本与价格的双向挤压</w:t>
      </w:r>
    </w:p>
    <w:p w14:paraId="0049B48A">
      <w:pPr>
        <w:rPr>
          <w:rFonts w:hint="eastAsia"/>
        </w:rPr>
      </w:pPr>
    </w:p>
    <w:p w14:paraId="5AC84EA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5月PMI数据中另一个值得警惕的结构性信号是“剪刀差”的扩大。主要原材料购进价格指数为52.1%，较上月上升0.4个百分点。出厂价格指数为48.3%，较上月下降0.3个百分点。</w:t>
      </w:r>
    </w:p>
    <w:p w14:paraId="53B7D654">
      <w:pPr>
        <w:rPr>
          <w:rFonts w:hint="eastAsia"/>
        </w:rPr>
      </w:pPr>
    </w:p>
    <w:p w14:paraId="61B73CE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两条曲线朝相反的方向移动——原材料成本在涨，产品售价在跌。这意味着制造业企业正在承受“成本升、售价降”的双向利润挤压：上游的能源、矿石、零部件在涨价，但企业无法将成本压力传导给终端消费者，因为需求端的疲弱使得提价空间极为有限。对于中小型企业而言，这种挤压是致命的。大型企业可以通过规模效应、库存管理和议价能力来部分对冲利润率的收窄，而中小企业在原材料涨价面前几无还手之力——它们既无法像大企业那样锁定长期供货价格，也无法通过品牌溢价来维持终端定价。这也解释了为什么大型企业PMI已回升至荣枯线上方（50.3%），而小型企业PMI仍在47.8%的低位深陷收缩。</w:t>
      </w:r>
    </w:p>
    <w:p w14:paraId="5FC12765">
      <w:pPr>
        <w:rPr>
          <w:rFonts w:hint="eastAsia"/>
        </w:rPr>
      </w:pPr>
    </w:p>
    <w:p w14:paraId="1E2A618B">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2.3 就业指数的沉默警报</w:t>
      </w:r>
    </w:p>
    <w:p w14:paraId="7DAA0D02">
      <w:pPr>
        <w:rPr>
          <w:rFonts w:hint="eastAsia"/>
        </w:rPr>
      </w:pPr>
    </w:p>
    <w:p w14:paraId="4528B5E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从业人员指数48.1%，较上月下降0.1个百分点。这个数字在PMI分项指数中最容易被忽略，但它所传递的信号可能最为沉重。</w:t>
      </w:r>
    </w:p>
    <w:p w14:paraId="35A0FAC3">
      <w:pPr>
        <w:rPr>
          <w:rFonts w:hint="eastAsia"/>
        </w:rPr>
      </w:pPr>
    </w:p>
    <w:p w14:paraId="1A074D3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制造业是当前中国就业的第二大蓄水池，吸收了数以千万计的产业工人。PMI从业人员指数自年初以来持续低于荣枯线，制造业用工景气度逐月走低。这不是一个暂时的季节性波动，而是趋势性的收缩。当新订单减少、利润被挤压、企业对未来预期趋于谨慎时，用工需求必然随之收缩。</w:t>
      </w:r>
    </w:p>
    <w:p w14:paraId="68EB0BE6">
      <w:pPr>
        <w:rPr>
          <w:rFonts w:hint="eastAsia"/>
        </w:rPr>
      </w:pPr>
    </w:p>
    <w:p w14:paraId="55B8747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月PMI从业人员指数的持续走低，与国务院《稳岗扩容提质行动方案》形成了时间维度上的直接呼应。方案要求“鼓励企业在应用人工智能时同步开展转型转岗培训，帮助劳动者尽可能稳在企业”。但PMI数据所揭示的信号是：在“稳在企业”的转型培训尚未全面铺开之际，企业已经开始了用工规模的收缩。政策的“时间差”在PMI就业分项中得到了微观数据的印证。</w:t>
      </w:r>
    </w:p>
    <w:p w14:paraId="30A808CB">
      <w:pPr>
        <w:rPr>
          <w:rFonts w:hint="eastAsia"/>
        </w:rPr>
      </w:pPr>
    </w:p>
    <w:p w14:paraId="397AE4EA">
      <w:pPr>
        <w:rPr>
          <w:rFonts w:hint="eastAsia"/>
        </w:rPr>
      </w:pPr>
    </w:p>
    <w:p w14:paraId="1E950B56">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 扩张的“新动能”：从政策概念到统计现实</w:t>
      </w:r>
    </w:p>
    <w:p w14:paraId="1EF8E877">
      <w:pPr>
        <w:rPr>
          <w:rFonts w:hint="eastAsia"/>
        </w:rPr>
      </w:pPr>
    </w:p>
    <w:p w14:paraId="6E9AFC52">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3.1 高技术制造业的独立行情</w:t>
      </w:r>
    </w:p>
    <w:p w14:paraId="17BD60BE">
      <w:pPr>
        <w:rPr>
          <w:rFonts w:hint="eastAsia"/>
        </w:rPr>
      </w:pPr>
    </w:p>
    <w:p w14:paraId="2A46A22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在制造业整体承压的背景下，5月PMI数据中最醒目的结构特征是：新质生产力相关行业走出了独立行情。</w:t>
      </w:r>
    </w:p>
    <w:p w14:paraId="6C64D2D0">
      <w:pPr>
        <w:rPr>
          <w:rFonts w:hint="eastAsia"/>
        </w:rPr>
      </w:pPr>
    </w:p>
    <w:p w14:paraId="2C55384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高技术制造业PMI为53.2%，较上月上升0.3个百分点。高端装备制造业PMI为52.8%，较上月上升0.2个百分点。新能源汽车相关产业PMI为53.6%，新订单和生产指数均强劲扩张。生物医药制造业PMI为52.1%，连续五个月位于荣枯线上方。</w:t>
      </w:r>
    </w:p>
    <w:p w14:paraId="5CBE0D83">
      <w:pPr>
        <w:rPr>
          <w:rFonts w:hint="eastAsia"/>
        </w:rPr>
      </w:pPr>
    </w:p>
    <w:p w14:paraId="0C15554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四个数字放在一起，构成了与消费品制造业PMI（48.4%）、高耗能行业PMI（47.9%）之间的鲜明反差。在同一张统计表格中，一部分行业在明确扩张，另一部分行业在持续收缩。这种“一升一降”的行业分化，不是此次数据的偶发特征，而是近一年来制造业PMI数据的持续趋势。新质生产力相关行业已连续数月保持独立于整体制造业的扩张态势，其景气度波动幅度显著小于传统行业，呈现出明显的结构性韧性。</w:t>
      </w:r>
    </w:p>
    <w:p w14:paraId="5793F246">
      <w:pPr>
        <w:rPr>
          <w:rFonts w:hint="eastAsia"/>
        </w:rPr>
      </w:pPr>
    </w:p>
    <w:p w14:paraId="6566DAEF">
      <w:pPr>
        <w:spacing w:before="240" w:beforeAutospacing="0" w:after="12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3.2 政策牵引的统计印证</w:t>
      </w:r>
    </w:p>
    <w:p w14:paraId="15BE87D8">
      <w:pPr>
        <w:rPr>
          <w:rFonts w:hint="eastAsia"/>
        </w:rPr>
      </w:pPr>
    </w:p>
    <w:p w14:paraId="31ADA6D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高技术制造业的独立行情不是市场的自发产物，而是政策长期牵引的统计印证。</w:t>
      </w:r>
    </w:p>
    <w:p w14:paraId="08CDA2BD">
      <w:pPr>
        <w:rPr>
          <w:rFonts w:hint="eastAsia"/>
        </w:rPr>
      </w:pPr>
    </w:p>
    <w:p w14:paraId="7E41D5C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如果将时间轴拉长来看，“十五五”规划将“加快高水平科技自立自强，引领发展新质生产力”列为战略核心，《求是》理论文章系统阐述了新质生产力与统一大市场的制度互动关系，国务院常务会议部署“人工智能+”配套政策，国家发改委推动算力基础设施超前建设——这些政策工具在过去数年间持续向高端装备、新能源、生物医药等领域密集倾斜。这些领域共同构成了新质生产力战略的核心产业载体，其强劲的扩张态势可视为宏观产业政策在微观企业景气度调查中的映射。</w:t>
      </w:r>
    </w:p>
    <w:p w14:paraId="25819A91">
      <w:pPr>
        <w:rPr>
          <w:rFonts w:hint="eastAsia"/>
        </w:rPr>
      </w:pPr>
    </w:p>
    <w:p w14:paraId="4DF13F0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国家统计局服务业调查中心高级统计师在解读5月PMI数据时，将当前的结构分化概括为“新动能持续积蓄，旧动能加速出清”。这句话的言外之意是：分化不是暂时的现象，而是长期趋势。新动能的“积蓄”需要时间，旧动能的“出清”也尚未完成。5月PMI数据所捕捉到的，正是这个“积蓄”与“出清”在同一时刻并行不悖的结构性瞬间。</w:t>
      </w:r>
    </w:p>
    <w:p w14:paraId="7B4C0526">
      <w:pPr>
        <w:rPr>
          <w:rFonts w:hint="eastAsia"/>
        </w:rPr>
      </w:pPr>
    </w:p>
    <w:p w14:paraId="0DA10D2D">
      <w:pPr>
        <w:rPr>
          <w:rFonts w:hint="eastAsia"/>
        </w:rPr>
      </w:pPr>
    </w:p>
    <w:p w14:paraId="79C0D6F5">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4 结构性复苏的政策之锚</w:t>
      </w:r>
    </w:p>
    <w:p w14:paraId="06F3F4F7">
      <w:pPr>
        <w:rPr>
          <w:rFonts w:hint="eastAsia"/>
        </w:rPr>
      </w:pPr>
    </w:p>
    <w:p w14:paraId="5830260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将5月PMI数据置于近期密集出台的宏观政策框架中审视，可以看到几个关键的制度衔接点。</w:t>
      </w:r>
    </w:p>
    <w:p w14:paraId="4850D28C">
      <w:pPr>
        <w:rPr>
          <w:rFonts w:hint="eastAsia"/>
        </w:rPr>
      </w:pPr>
    </w:p>
    <w:p w14:paraId="118A073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统一大市场建设为制造业提供了需求端的制度支撑。国务院常务会议部署的“三个纵深”中，“纵深推进市场设施高标准联通，畅通经济循环，有效降低全社会物流成本”直接回应了新订单指数持续偏弱的困境。统一大市场通过打破地方保护、统一市场规则来降低跨区域交易成本，让被行政区划分割的需求能够充分释放——这是从制度端扩大内需、为制造业提供稳定市场预期的关键举措。</w:t>
      </w:r>
    </w:p>
    <w:p w14:paraId="6956EEDD">
      <w:pPr>
        <w:rPr>
          <w:rFonts w:hint="eastAsia"/>
        </w:rPr>
      </w:pPr>
    </w:p>
    <w:p w14:paraId="446F600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稳岗扩容行动方案为从业人员指数的持续走低提供了制度对冲。PMI从业人员指数的持续收缩是多重因素叠加的结果——周期性需求疲弱、结构性旧动能出清、技术性AI替代——三者同时作用。稳岗扩容方案所设计的“稳在企业”的转型培训机制、“贯穿全职业生涯的培训体系”和“新质生产力创造就业”的新岗位方向，正是试图在这三重压力叠加的复杂局面下，为劳动者提供制度性的缓冲带。</w:t>
      </w:r>
    </w:p>
    <w:p w14:paraId="290BCC91">
      <w:pPr>
        <w:rPr>
          <w:rFonts w:hint="eastAsia"/>
        </w:rPr>
      </w:pPr>
    </w:p>
    <w:p w14:paraId="7DA1BC2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制度衔接的效率取决于政策传导的速度。PMI数据从统计采集到发布有一个滞后期，而企业用工决策几乎没有滞后期。这就意味着，当政策制定者看到从业人员指数走低时，企业已经完成了裁员。政策的“事后反应”与市场的“事前决策”之间存在一个难以被压缩的时间差。如何缩短这个时间差——让政策干预在市场决策之前而不是之后到达——是当前宏观经济治理中最棘手也最关键的挑战。</w:t>
      </w:r>
    </w:p>
    <w:p w14:paraId="096E33E1">
      <w:pPr>
        <w:rPr>
          <w:rFonts w:hint="eastAsia"/>
        </w:rPr>
      </w:pPr>
    </w:p>
    <w:p w14:paraId="73C25683">
      <w:pPr>
        <w:rPr>
          <w:rFonts w:hint="eastAsia"/>
        </w:rPr>
      </w:pPr>
    </w:p>
    <w:p w14:paraId="0D268B67">
      <w:pPr>
        <w:spacing w:before="360" w:beforeAutospacing="0" w:after="240" w:afterAutospacing="0"/>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5 结论：在分化中寻找稳固的支点</w:t>
      </w:r>
    </w:p>
    <w:p w14:paraId="2CA1C131">
      <w:pPr>
        <w:rPr>
          <w:rFonts w:hint="eastAsia"/>
        </w:rPr>
      </w:pPr>
    </w:p>
    <w:p w14:paraId="2CC9797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月PMI数据为观察当前中国制造业提供了一个独特的窗口。49.6%这个数字本身不说明太多问题，但拆开来看，它所揭示的结构性分化几乎是一种“镜像式”的经济转型图景——一面是传统动能在需求疲弱和成本挤压下的持续收缩，另一面是新质生产力在政策牵引和技术驱动下的稳步扩张。两者在同一个统计数字中相遇，却指向截然不同的方向。</w:t>
      </w:r>
    </w:p>
    <w:p w14:paraId="3192E856">
      <w:pPr>
        <w:rPr>
          <w:rFonts w:hint="eastAsia"/>
        </w:rPr>
      </w:pPr>
    </w:p>
    <w:p w14:paraId="0E947C5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核心判断是：新质生产力相关行业的逆势扩张，已经不再是政策规划中的愿景，而是正在被月度统计数据的微观验证的现实趋势。高技术制造业PMI连续多月运行在荣枯线上方，新能源汽车、高端装备、生物医药等行业在整体承压中保持了独立行情——这种结构性韧性是产业政策长期牵引的成果。</w:t>
      </w:r>
    </w:p>
    <w:p w14:paraId="517FEF9D">
      <w:pPr>
        <w:rPr>
          <w:rFonts w:hint="eastAsia"/>
        </w:rPr>
      </w:pPr>
    </w:p>
    <w:p w14:paraId="56EF9A9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趋势的巩固与扩散，仍取决于两个关键变量的走向。其一，需求端能否获得有效支撑——新订单指数能否回到扩张区间，将直接决定制造业的生产端还能在荣枯线上方维持多久。其二，中小型企业的景气度能否跟随大型企业回升——大企业与小企业之间的景气裂谷如果持续扩大，将从根本上侵蚀制造业恢复的广泛性和包容性。</w:t>
      </w:r>
    </w:p>
    <w:p w14:paraId="0162B7B4">
      <w:pPr>
        <w:rPr>
          <w:rFonts w:hint="eastAsia"/>
        </w:rPr>
      </w:pPr>
    </w:p>
    <w:p w14:paraId="2AC88F5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MI数据不是经济政策的决策依据，而是经济运行的滞后映射。但当映射中同时出现“扩张”与“收缩”两种完全相反的信号时，政策制定者的任务就不是根据数字的高低来调整刺激力度，而是识别哪些是趋势性的扩张、哪些是周期性的收缩，并将有限的制度资源精准配置于需要的环节。新质生产力相关行业的扩张需要的是持续性的制度供给——标准体系的完善、人才培养的配套、市场准入的优化；而传统行业和中小企业的收缩需要的是逆周期的政策托底——融资渠道的畅通、税费负担的减轻、转型成本的共担。两种力量需要两套政策工具，这是PMI数据所揭示的最重要的制度信号。</w:t>
      </w:r>
    </w:p>
    <w:p w14:paraId="761B6741">
      <w:pPr>
        <w:rPr>
          <w:rFonts w:hint="eastAsia"/>
        </w:rPr>
      </w:pPr>
    </w:p>
    <w:p w14:paraId="66D9F747">
      <w:pPr>
        <w:rPr>
          <w:rFonts w:hint="eastAsia"/>
        </w:rPr>
      </w:pPr>
    </w:p>
    <w:p w14:paraId="1EE48C3A">
      <w:pPr>
        <w:spacing w:before="240" w:beforeAutospacing="0" w:after="120" w:afterAutospacing="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参考文献</w:t>
      </w:r>
    </w:p>
    <w:p w14:paraId="6BA9F84F">
      <w:pPr>
        <w:rPr>
          <w:rFonts w:hint="eastAsia"/>
        </w:rPr>
      </w:pPr>
    </w:p>
    <w:p w14:paraId="033066BB">
      <w:pPr>
        <w:spacing w:before="120" w:beforeAutospacing="0" w:after="240" w:afterAutospacing="0"/>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国家统计局. 2026年5月中国采购经理指数运行情况[EB/OL]. 2026-05-30.</w:t>
      </w:r>
    </w:p>
    <w:p w14:paraId="6EC5A072">
      <w:pPr>
        <w:rPr>
          <w:rFonts w:hint="eastAsia"/>
        </w:rPr>
      </w:pPr>
    </w:p>
    <w:p w14:paraId="7B676EC7">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国家统计局服务业调查中心. 2026年5月PMI数据解读[EB/OL]. 2026-05-30.</w:t>
      </w:r>
    </w:p>
    <w:p w14:paraId="5E42C87C">
      <w:pPr>
        <w:rPr>
          <w:rFonts w:hint="eastAsia"/>
        </w:rPr>
      </w:pPr>
    </w:p>
    <w:p w14:paraId="17C95E75">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国务院常务会议. 研究推进全国统一大市场建设[EB/OL]. 2026-05-21.</w:t>
      </w:r>
    </w:p>
    <w:p w14:paraId="63CE34DD">
      <w:pPr>
        <w:rPr>
          <w:rFonts w:hint="eastAsia"/>
        </w:rPr>
      </w:pPr>
    </w:p>
    <w:p w14:paraId="0858D397">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国务院. 稳岗扩容提质行动方案[Z]. 2026-05-18.</w:t>
      </w:r>
    </w:p>
    <w:p w14:paraId="0D9ADA9D">
      <w:pPr>
        <w:rPr>
          <w:rFonts w:hint="eastAsia"/>
        </w:rPr>
      </w:pPr>
    </w:p>
    <w:p w14:paraId="2613D53D">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《求是》. 培育壮大新质生产力与建设全国统一大市场的制度互动[J/OL]. 2026.</w:t>
      </w:r>
    </w:p>
    <w:p w14:paraId="6F3E5872">
      <w:pPr>
        <w:rPr>
          <w:rFonts w:hint="eastAsia"/>
        </w:rPr>
      </w:pPr>
    </w:p>
    <w:p w14:paraId="5578644C">
      <w:pPr>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中共中央. 关于制定国民经济和社会发展第十五个五年规划的建议[Z]. 2025-10.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725599"/>
    <w:rsid w:val="4628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2026-05-31T08:32:43Z</dcterms:created>
  <dc:creator>永远健康</dc:creator>
  <cp:lastModifiedBy>WPS_1719835985</cp:lastModifiedBy>
  <dcterms:modified xsi:type="dcterms:W3CDTF">2026-05-31T08:35:25Z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DEFA1BDC25FF4AA787BBD5E722B3DE2E_12</vt:lpwstr>
  </property>
</Properties>
</file>