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074DA">
      <w:pPr>
        <w:jc w:val="center"/>
        <w:rPr>
          <w:rFonts w:asciiTheme="minorHAnsi" w:hAnsiTheme="minorHAnsi" w:eastAsiaTheme="minorEastAsia" w:cstheme="minorBidi"/>
          <w:b/>
          <w:bCs/>
          <w:kern w:val="2"/>
          <w:sz w:val="44"/>
          <w:szCs w:val="44"/>
          <w:lang w:val="en-US" w:eastAsia="zh-CN" w:bidi="ar-SA"/>
        </w:rPr>
      </w:pPr>
      <w:r>
        <w:rPr>
          <w:rFonts w:hint="eastAsia" w:asciiTheme="minorHAnsi" w:hAnsiTheme="minorHAnsi" w:eastAsiaTheme="minorEastAsia" w:cstheme="minorBidi"/>
          <w:b/>
          <w:bCs/>
          <w:kern w:val="2"/>
          <w:sz w:val="21"/>
          <w:szCs w:val="24"/>
          <w:lang w:val="en-US" w:eastAsia="zh-CN" w:bidi="ar-SA"/>
        </w:rPr>
        <w:t xml:space="preserve"> </w:t>
      </w:r>
      <w:r>
        <w:rPr>
          <w:rFonts w:hint="eastAsia" w:asciiTheme="minorHAnsi" w:hAnsiTheme="minorHAnsi" w:eastAsiaTheme="minorEastAsia" w:cstheme="minorBidi"/>
          <w:b/>
          <w:bCs/>
          <w:kern w:val="2"/>
          <w:sz w:val="44"/>
          <w:szCs w:val="44"/>
          <w:lang w:val="en-US" w:eastAsia="zh-CN" w:bidi="ar-SA"/>
        </w:rPr>
        <w:t>积极性的悖论：个人养老金制度“开户热、缴存冷”的结构性错配与制度优化</w:t>
      </w:r>
    </w:p>
    <w:p w14:paraId="3B9492D5">
      <w:pPr>
        <w:rPr>
          <w:rFonts w:hint="eastAsia"/>
        </w:rPr>
      </w:pPr>
    </w:p>
    <w:p w14:paraId="2FFDF99D">
      <w:pPr>
        <w:jc w:val="cente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AIGC使用声明</w:t>
      </w:r>
    </w:p>
    <w:p w14:paraId="726E5C5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1BB380B4">
      <w:pPr>
        <w:rPr>
          <w:rFonts w:hint="eastAsia"/>
        </w:rPr>
      </w:pPr>
    </w:p>
    <w:p w14:paraId="0E6DC835">
      <w:pPr>
        <w:rPr>
          <w:rFonts w:hint="eastAsia"/>
        </w:rPr>
      </w:pPr>
    </w:p>
    <w:p w14:paraId="22E76370">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摘要</w:t>
      </w:r>
    </w:p>
    <w:p w14:paraId="564458A7">
      <w:pPr>
        <w:rPr>
          <w:rFonts w:hint="eastAsia"/>
        </w:rPr>
      </w:pPr>
    </w:p>
    <w:p w14:paraId="7A4E3C5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个人养老金制度在全国推行一周年之际，运行数据呈现出一个不容忽视的结构性落差：开户人数已超7000万，但实际缴存比例不足三成，人均缴存额远低于每年12000元的上限。“90后”“00后”缴存意愿最低，“开户不缴”成为常态。本文认为，这一现象并非简单的执行问题，而是制度设计层面的“积极性悖论”——政策目标的长期社会理性与个体决策的短期偏好之间存在根本性的激励错位。递延纳税的优惠模式将激励集中于当下适用高税率的群体，而将占多数的中低收入年轻劳动者排斥在有效激励之外；封闭式管理作为制度设计的保护机制，在公众感知中被转化为“我的钱三十年碰不到”的剥夺感。本文在剖析这一悖论的形成机制后，借鉴行为经济学和国际比较经验，提出从流动性机制设计、税惠梯度优化、默认选项设置三个维度推动制度优化，使个人养老金从“应该参与”的政策倡导走向“愿意参与”的行为激励。</w:t>
      </w:r>
    </w:p>
    <w:p w14:paraId="23B51424">
      <w:pPr>
        <w:rPr>
          <w:rFonts w:hint="eastAsia"/>
        </w:rPr>
      </w:pPr>
    </w:p>
    <w:p w14:paraId="50963E59">
      <w:pPr>
        <w:spacing w:before="240" w:beforeAutospacing="0" w:after="120" w:afterAutospacing="0" w:line="360" w:lineRule="auto"/>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关键词：个人养老金；积极性悖论；结构性错配；税惠激励；默认选项；制度优化</w:t>
      </w:r>
    </w:p>
    <w:p w14:paraId="69CDBB37">
      <w:pPr>
        <w:rPr>
          <w:rFonts w:hint="eastAsia"/>
        </w:rPr>
      </w:pPr>
    </w:p>
    <w:p w14:paraId="7CEB3089">
      <w:pPr>
        <w:rPr>
          <w:rFonts w:hint="eastAsia"/>
        </w:rPr>
      </w:pPr>
    </w:p>
    <w:p w14:paraId="5AFE8867">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1 引言：一道被数据照亮的裂痕</w:t>
      </w:r>
    </w:p>
    <w:p w14:paraId="0B3EF60C">
      <w:pPr>
        <w:rPr>
          <w:rFonts w:hint="eastAsia"/>
        </w:rPr>
      </w:pPr>
    </w:p>
    <w:p w14:paraId="0E4753A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个人养老金制度在全国范围推行满一周年。多地陆续公布的数据中，两组数字构成了一个值得深思的对比。第一组：开户人数已超7000万，仅广州一市就突破620万户——制度的覆盖面在“入口”端远超预期。第二组：实际缴存比例不足三成，相当比例的账户处于“开户即休眠”状态，人均缴存额远低于每年12000元的上限。</w:t>
      </w:r>
    </w:p>
    <w:p w14:paraId="0FBD4268">
      <w:pPr>
        <w:rPr>
          <w:rFonts w:hint="eastAsia"/>
        </w:rPr>
      </w:pPr>
    </w:p>
    <w:p w14:paraId="75B2CF2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一道裂痕在数据中清晰呈现：人们愿意“开门”，却不愿意“存钱”。</w:t>
      </w:r>
    </w:p>
    <w:p w14:paraId="5DBBDEBF">
      <w:pPr>
        <w:rPr>
          <w:rFonts w:hint="eastAsia"/>
        </w:rPr>
      </w:pPr>
    </w:p>
    <w:p w14:paraId="6B2724E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不是简单的执行不力或宣传不足。当一个制度在入口处广受欢迎，在实质参与上却遭遇冷落时，问题便不能归咎于制度的外围因素，而必须追问制度设计本身。人们为什么愿意开户？因为开户零成本、零风险，还能给银行的推荐人员一个交代。人们为什么不愿意缴存？因为缴存意味着真金白银的长期锁定，意味着今天的钱要到三十年后才能触碰，意味着对遥远未来的承诺必须战胜眼前的消费欲望和不确定性焦虑。</w:t>
      </w:r>
    </w:p>
    <w:p w14:paraId="112E2E48">
      <w:pPr>
        <w:rPr>
          <w:rFonts w:hint="eastAsia"/>
        </w:rPr>
      </w:pPr>
    </w:p>
    <w:p w14:paraId="5E91F13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的核心诊断是：个人养老金制度正面临一个“积极性悖论”。政策设计者将制度目标锚定于“解决养老金替代率不足”的长期社会问题，这是完全正确的；但制度所依赖的激励机制——递延纳税优惠和退休前封闭管理——在转化个体行为时出现了系统性的激励失效。本文试图剖析这一悖论的形成机制，并在国际比较视野下提出制度优化的具体路径。</w:t>
      </w:r>
    </w:p>
    <w:p w14:paraId="5DABE726">
      <w:pPr>
        <w:rPr>
          <w:rFonts w:hint="eastAsia"/>
        </w:rPr>
      </w:pPr>
    </w:p>
    <w:p w14:paraId="38DC2073">
      <w:pPr>
        <w:rPr>
          <w:rFonts w:hint="eastAsia"/>
        </w:rPr>
      </w:pPr>
    </w:p>
    <w:p w14:paraId="7D320A8C">
      <w:pPr>
        <w:spacing w:before="120" w:beforeAutospacing="0" w:after="60" w:afterAutospacing="0"/>
        <w:rPr>
          <w:rFonts w:hint="eastAsia" w:asciiTheme="minorHAnsi" w:hAnsiTheme="minorHAnsi" w:eastAsiaTheme="minorEastAsia" w:cstheme="minorBidi"/>
          <w:b/>
          <w:bCs/>
          <w:kern w:val="2"/>
          <w:sz w:val="21"/>
          <w:szCs w:val="24"/>
          <w:lang w:val="en-US" w:eastAsia="zh-CN" w:bidi="ar-SA"/>
        </w:rPr>
      </w:pPr>
      <w:bookmarkStart w:id="0" w:name="_GoBack"/>
      <w:r>
        <w:rPr>
          <w:rFonts w:hint="eastAsia" w:asciiTheme="minorHAnsi" w:hAnsiTheme="minorHAnsi" w:eastAsiaTheme="minorEastAsia" w:cstheme="minorBidi"/>
          <w:b/>
          <w:bCs/>
          <w:kern w:val="2"/>
          <w:sz w:val="21"/>
          <w:szCs w:val="24"/>
          <w:lang w:val="en-US" w:eastAsia="zh-CN" w:bidi="ar-SA"/>
        </w:rPr>
        <w:t xml:space="preserve"> 2 “开户热、缴存冷”：一个结构性错配的解剖</w:t>
      </w:r>
    </w:p>
    <w:bookmarkEnd w:id="0"/>
    <w:p w14:paraId="08E59D89">
      <w:pPr>
        <w:rPr>
          <w:rFonts w:hint="eastAsia"/>
        </w:rPr>
      </w:pPr>
    </w:p>
    <w:p w14:paraId="2FD1979B">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2.1 现象：账户的“休眠”与缴存的“象征化”</w:t>
      </w:r>
    </w:p>
    <w:p w14:paraId="648DA4F9">
      <w:pPr>
        <w:rPr>
          <w:rFonts w:hint="eastAsia"/>
        </w:rPr>
      </w:pPr>
    </w:p>
    <w:p w14:paraId="70C88AE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各地披露的数据来看，“开户热、缴存冷”并非个别地区的偶发偏差，而是一个全国性的稳定模式。开户人数是实际缴存人数的三倍以上，这一比例在不同城市的统计中保持高度一致。更值得关注的是缴存的“象征化”倾向——大量已缴存账户并未用满额度，而是存入一笔远低于上限的小额资金。有调查数据显示，相当比例的账户缴存金额仅为每年12000元上限的约四分之一至三分之一，缴存行为形同“激活账户”的象征性操作，而非实质性的养老储蓄计划。</w:t>
      </w:r>
    </w:p>
    <w:p w14:paraId="12359BAB">
      <w:pPr>
        <w:rPr>
          <w:rFonts w:hint="eastAsia"/>
        </w:rPr>
      </w:pPr>
    </w:p>
    <w:p w14:paraId="0FCDCA6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是“象征性缴存”而非“实质参与”？这揭示了一个微妙的行为模式：缴存者愿意“意思一下”，表明他们并非对养老储蓄毫无意识，而是对将大量资金锁定在个人养老金账户中缺乏充分的安全感和动力。开户是对制度的“礼貌性回应”，小额缴存是对优惠的“试探性参与”，但制度的最终目标——让每一个账户成为劳动者养老保障的坚实第三支柱——距此还有相当遥远的距离。</w:t>
      </w:r>
    </w:p>
    <w:p w14:paraId="4DDC6EE4">
      <w:pPr>
        <w:rPr>
          <w:rFonts w:hint="eastAsia"/>
        </w:rPr>
      </w:pPr>
    </w:p>
    <w:p w14:paraId="6EDAFB7B">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2.2 年轻一代：最需要参与却最不愿参与</w:t>
      </w:r>
    </w:p>
    <w:p w14:paraId="3E369D88">
      <w:pPr>
        <w:rPr>
          <w:rFonts w:hint="eastAsia"/>
        </w:rPr>
      </w:pPr>
    </w:p>
    <w:p w14:paraId="4F98700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所有参与群体中，年轻一代的低缴存意愿是最令人忧虑的结构性信号。“90后”“00后”是个人养老金制度最核心的目标人群——他们距离退休最远，复利积累的时间窗口最长，理论上应该是最有动力参与的人。但数据显示，他们恰恰是缴存意愿最低的群体。银行基层网点的反馈印证了这一判断：大量年轻用户是在办理其他金融业务时被“顺势推荐”开了户，开户之后从未进行过实际缴存。开户行为是银行营销策略的结果，并非用户的主动养老规划。</w:t>
      </w:r>
    </w:p>
    <w:p w14:paraId="62E3FF57">
      <w:pPr>
        <w:rPr>
          <w:rFonts w:hint="eastAsia"/>
        </w:rPr>
      </w:pPr>
    </w:p>
    <w:p w14:paraId="1647504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年轻一代“开户不缴”的核心顾虑在社交媒体上被反复表达：“我能不能活到退休都不确定”“锁30年的钱贬值了怎么办”。这些表达在严肃的养老政策讨论中很少被认真对待，但它们在年轻群体中的传播力和影响力远超任何官方宣传。这不是需要被“教育”的认知误区，而是需要被“回应”的真实焦虑。年轻一代对超长期金融承诺的疏离，既有经济理性的支撑（收入低、税惠感知弱），也有深层的社会心理基础——他们成长于一个经历过养老制度转轨的时代，父辈的养老安全感并非天然存在。对“三十年后能不能如约领到钱”的疑虑，是代际传递的制度信任亏缺在个人养老金参与行为上的投射。</w:t>
      </w:r>
    </w:p>
    <w:p w14:paraId="45A89E3B">
      <w:pPr>
        <w:rPr>
          <w:rFonts w:hint="eastAsia"/>
        </w:rPr>
      </w:pPr>
    </w:p>
    <w:p w14:paraId="3A63E7EF">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2.3 结构性错配的三重维度</w:t>
      </w:r>
    </w:p>
    <w:p w14:paraId="1785411E">
      <w:pPr>
        <w:rPr>
          <w:rFonts w:hint="eastAsia"/>
        </w:rPr>
      </w:pPr>
    </w:p>
    <w:p w14:paraId="29441ED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将上述现象置于政策设计与个体行为的交互关系中审视，可以清晰辨识出三重结构性错配。</w:t>
      </w:r>
    </w:p>
    <w:p w14:paraId="5D48FE10">
      <w:pPr>
        <w:rPr>
          <w:rFonts w:hint="eastAsia"/>
        </w:rPr>
      </w:pPr>
    </w:p>
    <w:p w14:paraId="5962E0B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重：时间偏好的错配。政策目标锚定于三十年后的养老金替代率，这是社会理性的长期视野。但个体的经济决策强烈地受到当前收入和短期需求的影响，对三十年后的自我兑现一个承诺，在行为经济学上本就是一种需要极强外部激励才能完成的“跨期选择”。当外部激励不够强时，个体的时间偏好天然倾向于当下。</w:t>
      </w:r>
    </w:p>
    <w:p w14:paraId="37EE95D3">
      <w:pPr>
        <w:rPr>
          <w:rFonts w:hint="eastAsia"/>
        </w:rPr>
      </w:pPr>
    </w:p>
    <w:p w14:paraId="48FC1969">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重：激励力度的错配。递延纳税的优惠模式是个人养老金制度的核心激励机制。但这一机制的有效性高度依赖于参与者的边际税率——个税税率越高，缴费环节的减免幅度越大，激励效果越强。对于处于职业生涯早期、收入在个税起征点附近或刚刚进入低档税率的年轻劳动者而言，这项政策在税收层面的实际好处微弱乃至为零。激励工具的力度集中在最不需要激励的高收入群体身上，而在最需要激励的年轻群体身上几乎失效。</w:t>
      </w:r>
    </w:p>
    <w:p w14:paraId="128999BD">
      <w:pPr>
        <w:rPr>
          <w:rFonts w:hint="eastAsia"/>
        </w:rPr>
      </w:pPr>
    </w:p>
    <w:p w14:paraId="2F72F08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重：制度感知的错配。政策设计将“封闭管理、退休后方可领取”视为保障养老资金专款专用的核心保护机制。但在公众感知中，这一保护机制被转化为“我的钱三十年碰不到”的剥夺感。同样的制度条款，在政策端是“保障”，在公众端是“限制”。这种信号传递的错位，根源于设计者与参与者在制度理解上的认知距离。</w:t>
      </w:r>
    </w:p>
    <w:p w14:paraId="24A6B2F7">
      <w:pPr>
        <w:rPr>
          <w:rFonts w:hint="eastAsia"/>
        </w:rPr>
      </w:pPr>
    </w:p>
    <w:p w14:paraId="2FD70FAF">
      <w:pPr>
        <w:rPr>
          <w:rFonts w:hint="eastAsia"/>
        </w:rPr>
      </w:pPr>
    </w:p>
    <w:p w14:paraId="590647EB">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 积极性悖论的生成机制</w:t>
      </w:r>
    </w:p>
    <w:p w14:paraId="04886FE5">
      <w:pPr>
        <w:rPr>
          <w:rFonts w:hint="eastAsia"/>
        </w:rPr>
      </w:pPr>
    </w:p>
    <w:p w14:paraId="6F59D8C3">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3.1 悖论的核心：为什么“应该参与”不等于“愿意参与”</w:t>
      </w:r>
    </w:p>
    <w:p w14:paraId="1BBD1DB8">
      <w:pPr>
        <w:rPr>
          <w:rFonts w:hint="eastAsia"/>
        </w:rPr>
      </w:pPr>
    </w:p>
    <w:p w14:paraId="72EF6D2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个人养老金制度的推广话语，通常在讲一个“应该”的故事——养老金替代率在下降，第一支柱的压力在增大，每个人都应该为自己的养老未雨绸缪。这个“应该”在宏观层面完全正确。但“应该参与”与“愿意参与”之间的鸿沟，正是公共政策中最难跨越的距离。</w:t>
      </w:r>
    </w:p>
    <w:p w14:paraId="295ECB5B">
      <w:pPr>
        <w:rPr>
          <w:rFonts w:hint="eastAsia"/>
        </w:rPr>
      </w:pPr>
    </w:p>
    <w:p w14:paraId="07BC3C3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公共政策的视角看，个人养老金是一种“有益品”——政策制定者判断其对个人和社会有益，因此通过制度设计和税收优惠来鼓励参与。但有益品政策面临一个经典困境：制度设计者所认定的“有益”，必须以某种方式转化为个体的“我愿意”，否则再好的制度也只能停留在“你应该”的说服层面。递延纳税是一种转化工具——用当下的税收优惠换取未来的养老保障。但当下的优惠太小（对多数人而言），而未来的收益太远（对所有人而言），这个转化工具的效力便大打折扣。</w:t>
      </w:r>
    </w:p>
    <w:p w14:paraId="555B5F93">
      <w:pPr>
        <w:rPr>
          <w:rFonts w:hint="eastAsia"/>
        </w:rPr>
      </w:pPr>
    </w:p>
    <w:p w14:paraId="36ECD431">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3.2 制度之善与个体理性的“时间战场”</w:t>
      </w:r>
    </w:p>
    <w:p w14:paraId="4C7C4873">
      <w:pPr>
        <w:rPr>
          <w:rFonts w:hint="eastAsia"/>
        </w:rPr>
      </w:pPr>
    </w:p>
    <w:p w14:paraId="1879575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个人养老金制度的“积极性悖论”，在更深层次上是一场制度之善与个体理性在时间维度上的遭遇战。</w:t>
      </w:r>
    </w:p>
    <w:p w14:paraId="1C5DFEED">
      <w:pPr>
        <w:rPr>
          <w:rFonts w:hint="eastAsia"/>
        </w:rPr>
      </w:pPr>
    </w:p>
    <w:p w14:paraId="78EDD46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制度之善的逻辑是长期的：今天的储蓄是为了保障退休后的生活品质，三十年的复利积累将使小额缴存转化为可观的养老资产。个体理性的逻辑是短期的：今天的收入要应对当下的消费需求和不确定性储备，三十年后的自己是一个与今天的自己几乎无关的陌生人。行为经济学家将这种现象称为“跨期选择的偏差”——人们在做涉及未来的决策时，往往将未来的自己视为另一个“他人”，因而倾向于优先满足当下的需求。</w:t>
      </w:r>
    </w:p>
    <w:p w14:paraId="45339B93">
      <w:pPr>
        <w:rPr>
          <w:rFonts w:hint="eastAsia"/>
        </w:rPr>
      </w:pPr>
    </w:p>
    <w:p w14:paraId="2C27800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税优政策试图在这场时间战中扮演“调解者”的角色：用当下的税优收益来弥补个体对未来储蓄的偏好折价。但这个调解者的力量远不足以弥合如此巨大的时间跨度。对于高收入者，税优减免是一笔可观的当下收益，足以调节时间偏好；对于中低收入者，当下的税优接近于零，三十年的封闭期成为纯粹的机会成本。调解在此失效，而失效的结果就是“开户不缴”。</w:t>
      </w:r>
    </w:p>
    <w:p w14:paraId="779C6D0A">
      <w:pPr>
        <w:rPr>
          <w:rFonts w:hint="eastAsia"/>
        </w:rPr>
      </w:pPr>
    </w:p>
    <w:p w14:paraId="02A0FAA3">
      <w:pPr>
        <w:rPr>
          <w:rFonts w:hint="eastAsia"/>
        </w:rPr>
      </w:pPr>
    </w:p>
    <w:p w14:paraId="6E03D978">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 制度优化的三条路径</w:t>
      </w:r>
    </w:p>
    <w:p w14:paraId="14136F05">
      <w:pPr>
        <w:rPr>
          <w:rFonts w:hint="eastAsia"/>
        </w:rPr>
      </w:pPr>
    </w:p>
    <w:p w14:paraId="4A5C25BA">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4.1 流动性机制：在“完全封闭”与“任意支取”之间</w:t>
      </w:r>
    </w:p>
    <w:p w14:paraId="7B1D9AB3">
      <w:pPr>
        <w:rPr>
          <w:rFonts w:hint="eastAsia"/>
        </w:rPr>
      </w:pPr>
    </w:p>
    <w:p w14:paraId="621DEBF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当前制度的封闭式管理模式，将法定退休年龄设定为唯一的正常支取条件。这种“一刀切”的封闭设计固然保障了资金的养老专用属性，但也在最大程度上放大了年轻一代对“钱被锁死”的焦虑。</w:t>
      </w:r>
    </w:p>
    <w:p w14:paraId="4BC731B6">
      <w:pPr>
        <w:rPr>
          <w:rFonts w:hint="eastAsia"/>
        </w:rPr>
      </w:pPr>
    </w:p>
    <w:p w14:paraId="113D9B6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国际经验提供了“有条件的流动性”这一中间思路。美国IRA（个人退休账户）允许在特定情形下进行应急提取，包括大额医疗支出、首次购房首付、高等教育费用等，虽需缴纳所得税但不征收提前支取的惩罚性税率。新西兰KiwiSaver制度同样设有首次购房提取和严重财务困难提取两条通道。这些设计的共同理念是：在维护养老储蓄基本功能的前提下，为人生重大需求保留合理支取空间，以换取更广泛的参与意愿。</w:t>
      </w:r>
    </w:p>
    <w:p w14:paraId="4C243455">
      <w:pPr>
        <w:rPr>
          <w:rFonts w:hint="eastAsia"/>
        </w:rPr>
      </w:pPr>
    </w:p>
    <w:p w14:paraId="160A6B5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对于中国个人养老金而言，探索建立应急提取机制是弥合激励缺口的关键一步。可能的制度参数包括：限定提取情形为重大疾病医疗、首次购房、本人或子女高等教育等少数刚性需求；提取后需在规定年限内补足支取金额以恢复账户的养老储蓄功能；设定提取金额上限（如账户余额的一定比例）以避免对养老积累的过度侵蚀。</w:t>
      </w:r>
    </w:p>
    <w:p w14:paraId="02C3BAC7">
      <w:pPr>
        <w:rPr>
          <w:rFonts w:hint="eastAsia"/>
        </w:rPr>
      </w:pPr>
    </w:p>
    <w:p w14:paraId="049B98DD">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4.2 税惠梯度：让激励触及最需要的人</w:t>
      </w:r>
    </w:p>
    <w:p w14:paraId="6CB4DD5C">
      <w:pPr>
        <w:rPr>
          <w:rFonts w:hint="eastAsia"/>
        </w:rPr>
      </w:pPr>
    </w:p>
    <w:p w14:paraId="0679E19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当前递延纳税模式的激励失效，根源于“越富越受益、越穷越无关”的累退性结构。对这一困境的制度回应，可以借鉴行为经济学中的“助推”理念，在保持税优基本框架的前提下，引入更加精细化的激励设计。</w:t>
      </w:r>
    </w:p>
    <w:p w14:paraId="7760D1EB">
      <w:pPr>
        <w:rPr>
          <w:rFonts w:hint="eastAsia"/>
        </w:rPr>
      </w:pPr>
    </w:p>
    <w:p w14:paraId="675599F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个值得探索的方向是建立“税惠+补贴”的双层激励结构。对于适用税率较高的群体，维持现行的递延纳税模式，发挥其节税效应；对于税率较低或尚未进入纳税门槛的群体，引入财政直接补贴机制——个人每年缴存个人养老金，财政按缴存额的一定比例给予直接补贴，存入个人账户，不受个税税率影响。这种“最低收入者也能感知到激励”的设计，可以有效纠正当前激励结构与激励需求之间的错配。类似的制度在德国里斯特养老金和新西兰KiwiSaver中已有实践，其核心设计理念在于：养老保障是普遍性的社会需求，激励机制也应当是普遍性的，不应因个人当前税负水平而分化参与门槛。</w:t>
      </w:r>
    </w:p>
    <w:p w14:paraId="709915FB">
      <w:pPr>
        <w:rPr>
          <w:rFonts w:hint="eastAsia"/>
        </w:rPr>
      </w:pPr>
    </w:p>
    <w:p w14:paraId="0DAF4524">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4.3 默认选项：从“选择参与”到“自动参与”</w:t>
      </w:r>
    </w:p>
    <w:p w14:paraId="05134EE4">
      <w:pPr>
        <w:rPr>
          <w:rFonts w:hint="eastAsia"/>
        </w:rPr>
      </w:pPr>
    </w:p>
    <w:p w14:paraId="1F96929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行为经济学领域的大量实证研究表明：在涉及长期储蓄的决策中，默认选项的设置对参与率的提升具有决定性影响。经典的“默认选项效应”揭示了一个稳健的行为模式——当储蓄计划的默认状态是“不参与”时，多数人不会主动改变；当默认状态是“参与”时，多数人同样不会主动退出。</w:t>
      </w:r>
    </w:p>
    <w:p w14:paraId="45DD2E2E">
      <w:pPr>
        <w:rPr>
          <w:rFonts w:hint="eastAsia"/>
        </w:rPr>
      </w:pPr>
    </w:p>
    <w:p w14:paraId="141D9F0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西兰KiwiSaver制度的自动加入机制是这一理念的制度实践：新入职员工被自动纳入缴费型养老金计划，缴费比例按默认值设定，但保留随时退出的权利。实施后的数据显示，自动加入机制将制度覆盖率从自愿参与时期的不足50%大幅提升至接近90%。</w:t>
      </w:r>
    </w:p>
    <w:p w14:paraId="6CECC07B">
      <w:pPr>
        <w:rPr>
          <w:rFonts w:hint="eastAsia"/>
        </w:rPr>
      </w:pPr>
    </w:p>
    <w:p w14:paraId="05704E5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对于中国个人养老金而言，探索自动加入机制具有制度优化的重要价值。可考虑对新入职劳动者实行默认加入个人养老金，按较低比例（如工资的2%）设定默认缴存额，但保留随时调整缴存比例或退出的权利。与强制参加不同，自动加入保留了完全自愿的制度底色，但利用行为惯性大幅降低“迈出第一步”的门槛。对于当前“开户不缴”的群体，这一机制的直接效果是：参与的成本从“主动操作”变为“被动接受”——而行为惯性会促使大多数人在默认状态下持续积累养老储蓄。</w:t>
      </w:r>
    </w:p>
    <w:p w14:paraId="228614A4">
      <w:pPr>
        <w:rPr>
          <w:rFonts w:hint="eastAsia"/>
        </w:rPr>
      </w:pPr>
    </w:p>
    <w:p w14:paraId="501B6F41">
      <w:pPr>
        <w:rPr>
          <w:rFonts w:hint="eastAsia"/>
        </w:rPr>
      </w:pPr>
    </w:p>
    <w:p w14:paraId="4596E20C">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5 结语：从“应该参与”到“愿意参与”的制度进阶</w:t>
      </w:r>
    </w:p>
    <w:p w14:paraId="5345176F">
      <w:pPr>
        <w:rPr>
          <w:rFonts w:hint="eastAsia"/>
        </w:rPr>
      </w:pPr>
    </w:p>
    <w:p w14:paraId="5F39949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个人养老金制度推行一周年，7000万人开户的成绩是值得肯定的。但开户之后的“缴存冷”，是制度需要正视的信号。它提醒政策设计者：一个制度的成功，不仅取决于覆盖面的广度，更取决于参与行为的深度。</w:t>
      </w:r>
    </w:p>
    <w:p w14:paraId="78188E5A">
      <w:pPr>
        <w:rPr>
          <w:rFonts w:hint="eastAsia"/>
        </w:rPr>
      </w:pPr>
    </w:p>
    <w:p w14:paraId="330B7C7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所诊断的“积极性悖论”，本质上是制度设计的逻辑与个体决策的逻辑在时间维度上的错位。制度着眼长远，个体立足当下。弥合这一鸿沟，需要制度的主动调适——在流动性设计上给予参与者更多安全感和控制感，在激励结构上让最需要养老保障的中低收入年轻群体真正感受到参与的动力，在制度架构上借助行为科学的洞察降低参与的决策门槛。</w:t>
      </w:r>
    </w:p>
    <w:p w14:paraId="64475D43">
      <w:pPr>
        <w:rPr>
          <w:rFonts w:hint="eastAsia"/>
        </w:rPr>
      </w:pPr>
    </w:p>
    <w:p w14:paraId="562B21E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个人养老金不是一项可以“推出即成功”的制度。它需要在运行中不断试错、调整和优化，在与数百万参与者的持续互动中逐步成熟。当参与的阻力被制度性地降低，当参与的价值被每一个缴存者切身感知，“开户不缴”的现状才会发生真正的改变。从“应该参与”的政策倡导，走向“愿意参与”的行为激励，是个人养老金制度从规模扩张迈向实质运行的必经之路。</w:t>
      </w:r>
    </w:p>
    <w:p w14:paraId="39CACC67">
      <w:pPr>
        <w:rPr>
          <w:rFonts w:hint="eastAsia"/>
        </w:rPr>
      </w:pPr>
    </w:p>
    <w:p w14:paraId="0EA6840C">
      <w:pPr>
        <w:rPr>
          <w:rFonts w:hint="eastAsia"/>
        </w:rPr>
      </w:pPr>
    </w:p>
    <w:p w14:paraId="173CD345">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参考文献</w:t>
      </w:r>
    </w:p>
    <w:p w14:paraId="2F995F5C">
      <w:pPr>
        <w:rPr>
          <w:rFonts w:hint="eastAsia"/>
        </w:rPr>
      </w:pPr>
    </w:p>
    <w:p w14:paraId="2F60173A">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人力资源社会保障部等五部门. 个人养老金实施办法[Z]. 2022-11.</w:t>
      </w:r>
    </w:p>
    <w:p w14:paraId="79CE5B1A">
      <w:pPr>
        <w:rPr>
          <w:rFonts w:hint="eastAsia"/>
        </w:rPr>
      </w:pPr>
    </w:p>
    <w:p w14:paraId="46CD8908">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人力资源社会保障部等. 关于全面推行个人养老金制度的通知[Z]. 2024-12.</w:t>
      </w:r>
    </w:p>
    <w:p w14:paraId="39122752">
      <w:pPr>
        <w:rPr>
          <w:rFonts w:hint="eastAsia"/>
        </w:rPr>
      </w:pPr>
    </w:p>
    <w:p w14:paraId="5FA7E52D">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广州市人力资源社会保障局. 广州市个人养老金开户突破620万户[EB/OL]. 2026-05.</w:t>
      </w:r>
    </w:p>
    <w:p w14:paraId="59C66F74">
      <w:pPr>
        <w:rPr>
          <w:rFonts w:hint="eastAsia"/>
        </w:rPr>
      </w:pPr>
    </w:p>
    <w:p w14:paraId="1CEFBAE1">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全国个人养老金运行数据（年度报告）[R]. 2025-2026.</w:t>
      </w:r>
    </w:p>
    <w:p w14:paraId="477E4A73">
      <w:pPr>
        <w:rPr>
          <w:rFonts w:hint="eastAsia"/>
        </w:rPr>
      </w:pPr>
    </w:p>
    <w:p w14:paraId="628E5971">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人力资源社会保障部. 个人养老金制度优化方向相关表态[EB/OL]. 2026-05.</w:t>
      </w:r>
    </w:p>
    <w:p w14:paraId="136E00E8">
      <w:pPr>
        <w:rPr>
          <w:rFonts w:hint="eastAsia"/>
        </w:rPr>
      </w:pPr>
    </w:p>
    <w:p w14:paraId="5E315463">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U.S. Internal Revenue Service. Individual Retirement Arrangements（IRAs）[Z].</w:t>
      </w:r>
    </w:p>
    <w:p w14:paraId="4278CB17">
      <w:pPr>
        <w:rPr>
          <w:rFonts w:hint="eastAsia"/>
        </w:rPr>
      </w:pPr>
    </w:p>
    <w:p w14:paraId="39F60C4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New Zealand Government. KiwiSaver Act 2006[Z].</w:t>
      </w:r>
    </w:p>
    <w:p w14:paraId="1715160E">
      <w:pPr>
        <w:rPr>
          <w:rFonts w:hint="eastAsia"/>
        </w:rPr>
      </w:pPr>
    </w:p>
    <w:p w14:paraId="7A931206">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United Kingdom. National Employment Savings Trust（NEST）相关制度资料[Z].</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603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2026-05-30T10:19:40Z</dcterms:created>
  <dc:creator>永远健康</dc:creator>
  <cp:lastModifiedBy>WPS_1719835985</cp:lastModifiedBy>
  <dcterms:modified xsi:type="dcterms:W3CDTF">2026-05-30T10:56:40Z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2A43E1F9E656491BAD99FF5CC628437E_12</vt:lpwstr>
  </property>
</Properties>
</file>