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860B8">
      <w:pPr>
        <w:spacing w:before="1441" w:beforeAutospacing="0" w:after="1441" w:afterAutospacing="0"/>
        <w:ind w:left="1799" w:leftChars="0" w:right="1799" w:rightChars="0"/>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44"/>
          <w:szCs w:val="24"/>
          <w:lang w:val="en-US" w:eastAsia="zh-CN" w:bidi="ar-SA"/>
        </w:rPr>
        <w:t xml:space="preserve"> 被“自由”遮蔽的代价：</w:t>
      </w:r>
      <w:bookmarkStart w:id="0" w:name="_GoBack"/>
      <w:bookmarkEnd w:id="0"/>
      <w:r>
        <w:rPr>
          <w:rFonts w:hint="default" w:ascii="黑体" w:hAnsi="宋体" w:eastAsia="黑体" w:cs="黑体"/>
          <w:b/>
          <w:bCs/>
          <w:kern w:val="2"/>
          <w:sz w:val="44"/>
          <w:szCs w:val="24"/>
          <w:lang w:val="en-US" w:eastAsia="zh-CN" w:bidi="ar-SA"/>
        </w:rPr>
        <w:t>榴莲价格战背后的跨境供应链困境</w:t>
      </w:r>
    </w:p>
    <w:p w14:paraId="4252FD0A">
      <w:pPr>
        <w:rPr>
          <w:rFonts w:hint="eastAsia"/>
        </w:rPr>
      </w:pPr>
    </w:p>
    <w:p w14:paraId="6EA19E87">
      <w:pPr>
        <w:rPr>
          <w:rFonts w:hint="eastAsia" w:eastAsiaTheme="minorEastAsia"/>
          <w:lang w:eastAsia="zh-CN"/>
        </w:rPr>
      </w:pPr>
      <w:r>
        <w:rPr>
          <w:rFonts w:hint="eastAsia"/>
        </w:rPr>
        <w:t>AIGC使用声明</w:t>
      </w:r>
    </w:p>
    <w:p w14:paraId="59DEA74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38FC5A49">
      <w:pPr>
        <w:rPr>
          <w:rFonts w:hint="eastAsia"/>
        </w:rPr>
      </w:pPr>
    </w:p>
    <w:p w14:paraId="1108D3E6">
      <w:pPr>
        <w:rPr>
          <w:rFonts w:hint="eastAsia"/>
        </w:rPr>
      </w:pPr>
    </w:p>
    <w:p w14:paraId="622B1597">
      <w:pPr>
        <w:rPr>
          <w:rFonts w:hint="eastAsia"/>
        </w:rPr>
      </w:pPr>
      <w:r>
        <w:rPr>
          <w:rFonts w:hint="eastAsia"/>
        </w:rPr>
        <w:t xml:space="preserve"> 摘要</w:t>
      </w:r>
    </w:p>
    <w:p w14:paraId="3BB2D1A4">
      <w:pPr>
        <w:rPr>
          <w:rFonts w:hint="eastAsia"/>
        </w:rPr>
      </w:pPr>
    </w:p>
    <w:p w14:paraId="281AAE1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夏季，国内榴莲价格跌破每斤20元，社交媒体欢呼“榴莲自由”提前到来。然而，在消费端沉浸于低价红利的同时，产业链上游正承受着价格战的沉重代价——泰国、越南部分产区收购价已跌至种植成本线附近，“果贱伤农”在多地上演。本文认为，“榴莲自由”并非一个单纯的消费升级叙事，而是一个被效率话语遮蔽的分配困境。中老铁路的冷链运输效率将丰产信号即时转化为到货高峰，在缩短物流时间的同时也放大了价格波动的振幅；供应国从泰国的“一家独大”进入多国竞争的格局重塑，在打破供应垄断的同时也加剧了生产端的竞相压价；而跨境农业合作中生产端保护机制的长期缺位，使处于议价链最薄弱环节的小农户承担了价格战的最大风险。本文从供应链效率与公平的张力出发，剖析这场价格战的三重结构性失衡，并在RCEP制度框架与“一带一路”农业合作的语境下，探讨从“消费红利”走向“产业链共赢”的制度化路径。</w:t>
      </w:r>
    </w:p>
    <w:p w14:paraId="6E979ED7">
      <w:pPr>
        <w:rPr>
          <w:rFonts w:hint="eastAsia"/>
        </w:rPr>
      </w:pPr>
    </w:p>
    <w:p w14:paraId="787E0B7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关键词：榴莲价格战；跨境供应链；果贱伤农；RCEP；农业合作；分配正义</w:t>
      </w:r>
    </w:p>
    <w:p w14:paraId="1476F1D7">
      <w:pPr>
        <w:rPr>
          <w:rFonts w:hint="eastAsia"/>
        </w:rPr>
      </w:pPr>
    </w:p>
    <w:p w14:paraId="338FC1F0">
      <w:pPr>
        <w:rPr>
          <w:rFonts w:hint="eastAsia"/>
        </w:rPr>
      </w:pPr>
    </w:p>
    <w:p w14:paraId="7D875CC7">
      <w:pPr>
        <w:jc w:val="left"/>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1 引言：一粒榴莲的两张面孔</w:t>
      </w:r>
    </w:p>
    <w:p w14:paraId="4106F2C6">
      <w:pPr>
        <w:rPr>
          <w:rFonts w:hint="eastAsia"/>
        </w:rPr>
      </w:pPr>
    </w:p>
    <w:p w14:paraId="7B68C7D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初夏，北京一家超市的生鲜区，金枕榴莲的价签标注着“19.9元/斤”。一位消费者推着购物车经过，停下来挑了一颗，笑着说：“以前四五十块一斤，现在终于舍得随便买了。”与此同时，泰国尖竹汶府的一片榴莲园里，果农Somchai（化名）看着收购商递来的报价单，沉默不语。今年的收购价较去年跌了近四成，已经逼近他的种植成本线。他通过翻译告诉前去采访的记者：“榴莲熟了就必须要摘，不摘就烂在树上。价格再低也得卖。”</w:t>
      </w:r>
    </w:p>
    <w:p w14:paraId="1EADD83E">
      <w:pPr>
        <w:rPr>
          <w:rFonts w:hint="eastAsia"/>
        </w:rPr>
      </w:pPr>
    </w:p>
    <w:p w14:paraId="5F01612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同一粒榴莲，在中国消费者手中是“自由的果实”，在东南亚果农手中是“沉重的负担”。</w:t>
      </w:r>
    </w:p>
    <w:p w14:paraId="10CF19BE">
      <w:pPr>
        <w:rPr>
          <w:rFonts w:hint="eastAsia"/>
        </w:rPr>
      </w:pPr>
    </w:p>
    <w:p w14:paraId="3672968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东南亚榴莲主产区同步迎来丰产年。泰国、越南、马来西亚的榴莲种植面积在经历了此前数年的扩产周期后进入挂果高峰，总产量大幅攀升。中老铁路冷链运输效率持续提升，将大量成熟榴莲在更短时间内从产地运抵中国市场。供应端的集中释放在消费端制造了“榴莲自由”的狂欢——媒体竞相报道，社交媒体热议，榴莲从“中产水果之王”摇身变为大众消费品。</w:t>
      </w:r>
    </w:p>
    <w:p w14:paraId="30B41B84">
      <w:pPr>
        <w:rPr>
          <w:rFonts w:hint="eastAsia"/>
        </w:rPr>
      </w:pPr>
    </w:p>
    <w:p w14:paraId="28A4A7A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然而，这场价格战在消费端有多令人惊喜，在生产端就有多令人忧虑。部分产区田头收购价已跌至种植成本线附近，中小种植户面临“卖一斤亏一斤”的困境。本文试图追问的是：当我们在为“榴莲自由”欢呼时，这个“自由”的代价究竟由谁在承担？跨境供应链的效率提升是否必然以生产端的利益压榨为代价？在RCEP贸易便利化和“一带一路”农业合作深化的时代背景下，是否存在一种制度安排，能够让中国的消费者和东南亚的果农共同分享全球化的红利？</w:t>
      </w:r>
    </w:p>
    <w:p w14:paraId="18DF9E05">
      <w:pPr>
        <w:rPr>
          <w:rFonts w:hint="eastAsia"/>
        </w:rPr>
      </w:pPr>
    </w:p>
    <w:p w14:paraId="4024F747">
      <w:pPr>
        <w:rPr>
          <w:rFonts w:hint="eastAsia"/>
        </w:rPr>
      </w:pPr>
    </w:p>
    <w:p w14:paraId="6EBDC23F">
      <w:pPr>
        <w:jc w:val="left"/>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 价格战的形成机制：一场“效率”驱动的结构性失衡</w:t>
      </w:r>
    </w:p>
    <w:p w14:paraId="6DCE96DC">
      <w:pPr>
        <w:rPr>
          <w:rFonts w:hint="eastAsia"/>
        </w:rPr>
      </w:pPr>
    </w:p>
    <w:p w14:paraId="11EFB13B">
      <w:pPr>
        <w:jc w:val="left"/>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2.1 丰收悖论：当产量增长成为负担</w:t>
      </w:r>
    </w:p>
    <w:p w14:paraId="64DEECD9">
      <w:pPr>
        <w:rPr>
          <w:rFonts w:hint="eastAsia"/>
        </w:rPr>
      </w:pPr>
    </w:p>
    <w:p w14:paraId="3C51FBC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榴莲价格战的第一个驱动力，是农业经济学中经典的“丰收悖论”——在需求缺乏弹性的条件下，产量增加反而导致总收入下降。</w:t>
      </w:r>
    </w:p>
    <w:p w14:paraId="59F1CCD5">
      <w:pPr>
        <w:rPr>
          <w:rFonts w:hint="eastAsia"/>
        </w:rPr>
      </w:pPr>
    </w:p>
    <w:p w14:paraId="32C039D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榴莲在中国市场的消费虽然增长迅猛，但相对于急剧攀升的供应量，需求的弹性仍显不足。榴莲作为一种具有独特气味和口感的水果，其消费群体虽然在扩张，但尚未成为像苹果、香蕉那样的全民日常消费品。当供应端因丰产而集中放量时，需求端无法以同等速度吸收新增供应，价格便成为调节供需的唯一变量——向下调整。</w:t>
      </w:r>
    </w:p>
    <w:p w14:paraId="637A77CC">
      <w:pPr>
        <w:rPr>
          <w:rFonts w:hint="eastAsia"/>
        </w:rPr>
      </w:pPr>
    </w:p>
    <w:p w14:paraId="0675F69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更为关键的是，榴莲种植的生物学特性使果农在价格谈判中处于先天劣势。榴莲树从种植到商业化产果需要五至七年，前期投入巨大且不可逆。一旦进入挂果期，榴莲成熟后必须在极短时间内采摘——不像小麦可以囤积在仓库等待价格回升，不像苹果可以冷藏储存跨季销售。这种“不摘就烂”的刚性供给特征，剥夺了果农通过调节出售节奏来应对价格波动的能力。在经济学意义上，果农在采摘季成为了完全的价格接受者，其对市场信号的响应空间几乎为零。</w:t>
      </w:r>
    </w:p>
    <w:p w14:paraId="4E5E06D1">
      <w:pPr>
        <w:rPr>
          <w:rFonts w:hint="eastAsia"/>
        </w:rPr>
      </w:pPr>
    </w:p>
    <w:p w14:paraId="245AE482">
      <w:pPr>
        <w:jc w:val="left"/>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2.2 供应链加速：效率提升的隐性代价</w:t>
      </w:r>
    </w:p>
    <w:p w14:paraId="458F9C92">
      <w:pPr>
        <w:rPr>
          <w:rFonts w:hint="eastAsia"/>
        </w:rPr>
      </w:pPr>
    </w:p>
    <w:p w14:paraId="0819930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中老铁路的开通被公认为东南亚水果贸易的里程碑事件。这条铁路将泰国榴莲从产地运至昆明的时间大幅缩短至十余小时，较传统海运压缩了十余天的运输周期。对榴莲这种保鲜期极短的水果而言，时间就是价值——更快的运输意味着更好的成熟度控制、更低的损耗率和更优的终端品相。</w:t>
      </w:r>
    </w:p>
    <w:p w14:paraId="6EFC0D77">
      <w:pPr>
        <w:rPr>
          <w:rFonts w:hint="eastAsia"/>
        </w:rPr>
      </w:pPr>
    </w:p>
    <w:p w14:paraId="1291B81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然而，从价格形成的角度看，物流效率的提升在丰收年份产生了一个被普遍忽视的副作用：它同时削弱了物流环节对价格波动的缓冲功能。在过去依赖海运的时代，榴莲到港的节奏相对均匀，运输周期本身充当了一种被动的时间调节机制——丰产信号传导到终端市场存在天然时滞，价格下行压力在时间维度上被分散。铁路运输的快捷性消解了这种时滞，大量成熟榴莲得以在更短时间内从产地涌入终端市场，丰产信号几乎即时转化为到货高峰，价格压力在短时间内集中释放。物流效率由此呈现为一个悖论：它提升了供应链的时效性，也同时放大了供应冲击的瞬时振幅。</w:t>
      </w:r>
    </w:p>
    <w:p w14:paraId="5FFA826C">
      <w:pPr>
        <w:rPr>
          <w:rFonts w:hint="eastAsia"/>
        </w:rPr>
      </w:pPr>
    </w:p>
    <w:p w14:paraId="7C6AD9EF">
      <w:pPr>
        <w:jc w:val="left"/>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2.3 多国竞争：从寡头供应到充分竞争的市场重塑</w:t>
      </w:r>
    </w:p>
    <w:p w14:paraId="15DBD3A5">
      <w:pPr>
        <w:rPr>
          <w:rFonts w:hint="eastAsia"/>
        </w:rPr>
      </w:pPr>
    </w:p>
    <w:p w14:paraId="78F900F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中国榴莲进口格局在过去数年间经历了深刻的结构性重塑。泰国长期独占中国榴莲市场九成以上份额的格局已被打破。越南榴莲于2022年获准正式输华后，出口量迅速攀升，至2025年已占据中国市场近三成份额。菲律宾于2023年获准进入，马来西亚新鲜榴莲于2024年获准对华出口。中国市场在短时间内完成了从“一家独大”到“三强并立、多方入局”的格局转换。</w:t>
      </w:r>
    </w:p>
    <w:p w14:paraId="2B323123">
      <w:pPr>
        <w:rPr>
          <w:rFonts w:hint="eastAsia"/>
        </w:rPr>
      </w:pPr>
    </w:p>
    <w:p w14:paraId="143DC5A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市场效率的角度看，供应来源的多元化是贸易结构优化的标志。消费者享有更多的品种选择，进口商拥有更灵活的采购策略，单一供应国的天气风险或政策变动不再能轻易冲击整个市场。但从生产端竞争的角度看，供应国的增加意味着出口商之间的价格竞争加剧。进口商面对多个货源的报价，拥有了充分的“货比三家”空间，而这种采购端的议价权优势直接转化为产地收购价的持续下压。果农面对的不再是“今年榴莲好卖，收购商抢着要”的卖方市场，而是“你不卖别人卖，反正货有的是”的买方市场。市场结构从垄断型供应的稳定高价，快速过渡到完全竞争型供应的价格内卷——效率提升的目标实现了，但在效率的分配中，处于议价链最薄弱环节的种植者承担了最大份额的代价。</w:t>
      </w:r>
    </w:p>
    <w:p w14:paraId="45D1ADAA">
      <w:pPr>
        <w:rPr>
          <w:rFonts w:hint="eastAsia"/>
        </w:rPr>
      </w:pPr>
    </w:p>
    <w:p w14:paraId="6333E929">
      <w:pPr>
        <w:rPr>
          <w:rFonts w:hint="eastAsia"/>
        </w:rPr>
      </w:pPr>
    </w:p>
    <w:p w14:paraId="32B7ED28">
      <w:pPr>
        <w:jc w:val="left"/>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 制度真空：生产端保护为何缺位</w:t>
      </w:r>
    </w:p>
    <w:p w14:paraId="01CB621F">
      <w:pPr>
        <w:rPr>
          <w:rFonts w:hint="eastAsia"/>
        </w:rPr>
      </w:pPr>
    </w:p>
    <w:p w14:paraId="35A7E1F8">
      <w:pPr>
        <w:jc w:val="left"/>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3.1 跨境治理的断裂地带</w:t>
      </w:r>
    </w:p>
    <w:p w14:paraId="0767905F">
      <w:pPr>
        <w:rPr>
          <w:rFonts w:hint="eastAsia"/>
        </w:rPr>
      </w:pPr>
    </w:p>
    <w:p w14:paraId="1BA3B90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榴莲价格战暴露出的深层困境，是跨境农业供应链中生产端保护机制的系统性缺失。</w:t>
      </w:r>
    </w:p>
    <w:p w14:paraId="2B6F256C">
      <w:pPr>
        <w:rPr>
          <w:rFonts w:hint="eastAsia"/>
        </w:rPr>
      </w:pPr>
    </w:p>
    <w:p w14:paraId="333F642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主权国家内部，农业价格支持政策——最低收购价、种植补贴、收入保险——构成了一张为农民兜底的制度安全网。但当农业贸易跨越国界时，这张安全网便出现了制度性的断裂。中国消费者享受到的“榴莲自由”，在一定程度上建立在泰国、越南果农缺乏议价能力和制度保护的基础之上。这不是中国的政策设计有意为之，也不是东南亚各国政府乐于见到果农受损，而是跨境农产品贸易治理中一个普遍存在的制度真空：贸易便利化积极推动了产品流动，但生产端保护仍然被锁定在民族国家的治理边界之内，两者在推进速度和制度覆盖上存在严重的不对称。</w:t>
      </w:r>
    </w:p>
    <w:p w14:paraId="2FE61754">
      <w:pPr>
        <w:rPr>
          <w:rFonts w:hint="eastAsia"/>
        </w:rPr>
      </w:pPr>
    </w:p>
    <w:p w14:paraId="64BBB451">
      <w:pPr>
        <w:jc w:val="left"/>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3.2 RCEP的制度潜力与未竟之处</w:t>
      </w:r>
    </w:p>
    <w:p w14:paraId="0AC0EDAD">
      <w:pPr>
        <w:rPr>
          <w:rFonts w:hint="eastAsia"/>
        </w:rPr>
      </w:pPr>
    </w:p>
    <w:p w14:paraId="627B7F7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CEP的生效为区域农产品贸易提供了关税减让、原产地累积规则、海关通关便利化等一系列制度红利。但这些条款主要聚焦于降低贸易壁垒——让商品更自由地流动，而非保障生产者——让参与贸易的人获得公平回报。</w:t>
      </w:r>
    </w:p>
    <w:p w14:paraId="143317C9">
      <w:pPr>
        <w:rPr>
          <w:rFonts w:hint="eastAsia"/>
        </w:rPr>
      </w:pPr>
    </w:p>
    <w:p w14:paraId="121AC44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RCEP框架中虽然包含经济技术合作条款，但其在农产品价格稳定、小农户保护、跨境产业救济等领域的制度供给仍然薄弱。榴莲价格战恰恰发生在RCEP制度覆盖的边缘地带——贸易已经充分自由化，但自由化带来的冲击尚无对应的缓冲机制。从制度设计的角度看，这指向了一个需要在下一阶段区域合作中被正面回答的问题：当贸易便利化将生产端的风险敞口不断扩大，区域性的制度安排是否需要从“促进贸易自由化”的单层目标，走向“平衡效率与公平”的双层目标？</w:t>
      </w:r>
    </w:p>
    <w:p w14:paraId="12A8D32B">
      <w:pPr>
        <w:rPr>
          <w:rFonts w:hint="eastAsia"/>
        </w:rPr>
      </w:pPr>
    </w:p>
    <w:p w14:paraId="168618BF">
      <w:pPr>
        <w:jc w:val="left"/>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3.3 “一带一路”农业合作的可持续性追问</w:t>
      </w:r>
    </w:p>
    <w:p w14:paraId="10951F76">
      <w:pPr>
        <w:rPr>
          <w:rFonts w:hint="eastAsia"/>
        </w:rPr>
      </w:pPr>
    </w:p>
    <w:p w14:paraId="450090C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榴莲贸易是中老铁路等“一带一路”基础设施项目最直观的商业成功案例之一。这条铁路将原本偏远的泰国东北部和老挝腹地与巨大的中国市场直接相连，其经济价值和文化象征意义不言而喻。</w:t>
      </w:r>
    </w:p>
    <w:p w14:paraId="173342A2">
      <w:pPr>
        <w:rPr>
          <w:rFonts w:hint="eastAsia"/>
        </w:rPr>
      </w:pPr>
    </w:p>
    <w:p w14:paraId="5BED207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基础设施联通带来的不仅是发展的机遇，更是对发展质量的长期拷问。如果铁路的运营结果是让进口商可以在产地压价收购、让果农被迫以低于成本的价格出售，那么“联通”的经济成果就被严重不均地分配了。在“一带一路”的叙事框架中，基础设施是手段，共同发展是目的。当手段已经高度成熟——中老铁路已经通车运营数年，RCEP已经生效实施——目的的实现程度却仍然高度不均衡。这不仅是榴莲一个品类的困境，更是“一带一路”农业合作从“硬联通”走向“软联通”和“心联通”过程中必须正视的制度命题。</w:t>
      </w:r>
    </w:p>
    <w:p w14:paraId="66EBFC8B">
      <w:pPr>
        <w:rPr>
          <w:rFonts w:hint="eastAsia"/>
        </w:rPr>
      </w:pPr>
    </w:p>
    <w:p w14:paraId="5E04E7BF">
      <w:pPr>
        <w:rPr>
          <w:rFonts w:hint="eastAsia"/>
        </w:rPr>
      </w:pPr>
    </w:p>
    <w:p w14:paraId="772F8228">
      <w:pPr>
        <w:jc w:val="left"/>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 结论：从“消费自由”到“产业链共赢”的制度进阶</w:t>
      </w:r>
    </w:p>
    <w:p w14:paraId="58111206">
      <w:pPr>
        <w:rPr>
          <w:rFonts w:hint="eastAsia"/>
        </w:rPr>
      </w:pPr>
    </w:p>
    <w:p w14:paraId="1856050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榴莲自由”是一个迷人但具有误导性的表述。它暗示着自由是可欲的，而忽略了自由的代价由谁承担。在当前的跨境榴莲供应链中，消费者获得了价格的自由——以更低成本享受进口水果；进口商获得了选择的自由——在多国货源的竞争中择优采购；而果农承担了自由的代价——在买方市场中丧失定价权，在丰产年份被动接受低于成本的价格。</w:t>
      </w:r>
    </w:p>
    <w:p w14:paraId="7A5661FA">
      <w:pPr>
        <w:rPr>
          <w:rFonts w:hint="eastAsia"/>
        </w:rPr>
      </w:pPr>
    </w:p>
    <w:p w14:paraId="5D28C25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试图论证的核心判断是：供应链效率的持续提升是不可逆转的长期趋势，但效率的红利不应以牺牲生产端利益为唯一分配方式。当贸易便利化将各环节的交易成本压至低位，当基础设施升级将物流时间缩至最短，一个制度性的追问便自然浮现——我们在效率维度上已经做得足够多，但在公平维度上仍然做得太少。</w:t>
      </w:r>
    </w:p>
    <w:p w14:paraId="19704590">
      <w:pPr>
        <w:rPr>
          <w:rFonts w:hint="eastAsia"/>
        </w:rPr>
      </w:pPr>
    </w:p>
    <w:p w14:paraId="4CFD2F0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制度建设的方向看，三个层面的探索值得推进。在区域合作层面，在RCEP框架下探索建立跨境农产品的价格稳定机制，将特定品类的贸易数据共享、产量预警、价格监测纳入区域合作的制度议程。在行业层面，推动建立生产国和中国进口商之间的供应链协商平台，为果农提供价格信息的透明对称和集体议价的制度通道。在金融工具层面，探索引入农产品价格保险等风险管理工具，为小农户提供价格波动的市场化缓冲机制。</w:t>
      </w:r>
    </w:p>
    <w:p w14:paraId="3C9E9ACC">
      <w:pPr>
        <w:rPr>
          <w:rFonts w:hint="eastAsia"/>
        </w:rPr>
      </w:pPr>
    </w:p>
    <w:p w14:paraId="21B42DF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榴莲自由”可以被保留为一个美好的消费愿景，但它的真正含义不应该是“榴莲便宜了”，而应该是“每一个种榴莲的人，都能靠它过上有尊严的生活”。当中国的消费者咬下一口金黄饱满的榴莲果肉时，这个产业链上每一个环节的参与者——从泰国果农到中老铁路的货运司机，从越南包装工到昆明批发市场的分拣员——都应当能够分享这份来自全球化的甜美。这才是值得追求的真正的自由。</w:t>
      </w:r>
    </w:p>
    <w:p w14:paraId="6550B93A">
      <w:pPr>
        <w:rPr>
          <w:rFonts w:hint="eastAsia"/>
        </w:rPr>
      </w:pPr>
    </w:p>
    <w:p w14:paraId="0D46697A">
      <w:pPr>
        <w:rPr>
          <w:rFonts w:hint="eastAsia"/>
        </w:rPr>
      </w:pPr>
    </w:p>
    <w:p w14:paraId="48D68D62">
      <w:pPr>
        <w:rPr>
          <w:rFonts w:hint="eastAsia"/>
        </w:rPr>
      </w:pPr>
      <w:r>
        <w:rPr>
          <w:rFonts w:hint="eastAsia"/>
        </w:rPr>
        <w:t xml:space="preserve"> 参考文献</w:t>
      </w:r>
    </w:p>
    <w:p w14:paraId="19800A8C">
      <w:pPr>
        <w:rPr>
          <w:rFonts w:hint="eastAsia"/>
        </w:rPr>
      </w:pPr>
    </w:p>
    <w:p w14:paraId="7638E539">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中国海关总署. 2025年中国进口鲜榴莲贸易统计数据[R]. 2026.</w:t>
      </w:r>
    </w:p>
    <w:p w14:paraId="4B8933A4">
      <w:pPr>
        <w:rPr>
          <w:rFonts w:hint="eastAsia"/>
        </w:rPr>
      </w:pPr>
    </w:p>
    <w:p w14:paraId="59924460">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泰国农业经济办公室. 2026年东部榴莲产区价格监测报告[R]. 2026-05.</w:t>
      </w:r>
    </w:p>
    <w:p w14:paraId="385CE49E">
      <w:pPr>
        <w:rPr>
          <w:rFonts w:hint="eastAsia"/>
        </w:rPr>
      </w:pPr>
    </w:p>
    <w:p w14:paraId="6C813D7E">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越南农业与农村发展部. 越南榴莲对华出口分析报告[R]. 2026.</w:t>
      </w:r>
    </w:p>
    <w:p w14:paraId="26DA7C9F">
      <w:pPr>
        <w:rPr>
          <w:rFonts w:hint="eastAsia"/>
        </w:rPr>
      </w:pPr>
    </w:p>
    <w:p w14:paraId="6F93615E">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中国国家铁路集团. 中老铁路2025年度运营报告[R]. 2026.</w:t>
      </w:r>
    </w:p>
    <w:p w14:paraId="52FE3BF0">
      <w:pPr>
        <w:rPr>
          <w:rFonts w:hint="eastAsia"/>
        </w:rPr>
      </w:pPr>
    </w:p>
    <w:p w14:paraId="4134D343">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RCEP协定文本（农产品贸易相关章节）[Z]. 2022.</w:t>
      </w:r>
    </w:p>
    <w:p w14:paraId="14211BD7">
      <w:pPr>
        <w:rPr>
          <w:rFonts w:hint="eastAsia"/>
        </w:rPr>
      </w:pPr>
    </w:p>
    <w:p w14:paraId="6027D57D">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 泰国商务部. 尖竹汶府榴莲出口商协会价格通报[EB/OL]. 2026-05.</w:t>
      </w:r>
    </w:p>
    <w:p w14:paraId="5AF6635A">
      <w:pPr>
        <w:rPr>
          <w:rFonts w:hint="eastAsia"/>
        </w:rPr>
      </w:pPr>
    </w:p>
    <w:p w14:paraId="2C531964">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[7] 联合国粮农组织. 跨境农产品价值链中的小农户保护[R]. 2025.</w:t>
      </w:r>
    </w:p>
    <w:p w14:paraId="03421FA1">
      <w:pPr>
        <w:rPr>
          <w:rFonts w:hint="eastAsia"/>
        </w:rPr>
      </w:pPr>
    </w:p>
    <w:p w14:paraId="1E87E106">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[8] 世界银行. 中老铁路经济走廊发展评估[R]. 2025.</w:t>
      </w:r>
    </w:p>
    <w:p w14:paraId="2C494B78">
      <w:pPr>
        <w:rPr>
          <w:rFonts w:hint="eastAsia"/>
        </w:rPr>
      </w:pPr>
    </w:p>
    <w:p w14:paraId="0EFFA427">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 昆明海关. 2026年1-5月经中老铁路进口水果统计数据[R]. 2026.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910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2026-05-30T17:18:10Z</dcterms:created>
  <dc:creator>永远健康</dc:creator>
  <cp:lastModifiedBy>WPS_1719835985</cp:lastModifiedBy>
  <dcterms:modified xsi:type="dcterms:W3CDTF">2026-05-30T17:21:05Z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FFE59756C5054D3C955CCE89CC704432_12</vt:lpwstr>
  </property>
</Properties>
</file>