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BB32E">
      <w:pPr>
        <w:jc w:val="center"/>
        <w:rPr>
          <w:rFonts w:hint="eastAsia"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AlphaFold 3.1与结构生物学的“权力转移”：AI驱动的科学范式变革及其学科焦虑</w:t>
      </w:r>
    </w:p>
    <w:p w14:paraId="31915F90">
      <w:pPr>
        <w:rPr>
          <w:rFonts w:hint="eastAsia"/>
        </w:rPr>
      </w:pPr>
    </w:p>
    <w:p w14:paraId="37ECF6A6">
      <w:pPr>
        <w:rPr>
          <w:rFonts w:hint="eastAsia"/>
        </w:rPr>
      </w:pPr>
    </w:p>
    <w:p w14:paraId="7394D32B">
      <w:pPr>
        <w:spacing w:before="120" w:beforeAutospacing="0" w:after="6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AIGC使用声明</w:t>
      </w:r>
    </w:p>
    <w:p w14:paraId="40D19727">
      <w:pPr>
        <w:rPr>
          <w:rFonts w:hint="eastAsia"/>
        </w:rPr>
      </w:pPr>
    </w:p>
    <w:p w14:paraId="159349F4">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0B063139">
      <w:pPr>
        <w:rPr>
          <w:rFonts w:hint="eastAsia"/>
        </w:rPr>
      </w:pPr>
    </w:p>
    <w:p w14:paraId="2F8810C3">
      <w:pPr>
        <w:rPr>
          <w:rFonts w:hint="eastAsia"/>
        </w:rPr>
      </w:pPr>
    </w:p>
    <w:p w14:paraId="4DB8F79F">
      <w:pPr>
        <w:spacing w:before="120" w:beforeAutospacing="0" w:after="6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摘要</w:t>
      </w:r>
    </w:p>
    <w:p w14:paraId="709C87C2">
      <w:pPr>
        <w:rPr>
          <w:rFonts w:hint="eastAsia"/>
        </w:rPr>
      </w:pPr>
    </w:p>
    <w:p w14:paraId="123180B1">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2026年5月31日，谷歌DeepMind发布并开源AlphaFold 3.1版本，首次实现对蛋白质在溶液环境下动态构象变化的高精度模拟，精度从上一代的62%跃升至85%。这一突破性进展引发了两重连锁反应：在资本市场上，跨国药企股价剧烈震荡，AI制药概念股加速分化；在学术界，结构生物学家在欢呼工具升级的同时，也陷入传统实验方法被边缘化的深层焦虑。本文认为，AlphaFold 3.1的发布不应仅仅被解读为一次技术工具的版本迭代，而应被置于“AI for Science”范式变革的宏观叙事中加以审视——计算工具首次在核心科学领域实现了从“辅助实验”到“替代部分实验”的角色跃迁。这种跃迁正在引发结构生物学领域一场静默的权力转移：知识生产的主导权正从实验派向计算派倾斜，学科生态面临代际更替的隐性风险。本文在分析AlphaFold 3.1技术突破的实质内涵后，剖析学术界复杂反应的背后逻辑，并从资本市场的分化中解读AI制药产业的深层次结构性调整。本文的核心追问在于：当AI的预测精度达到可以与实验证据相抗衡的水平，科学共同体应当如何重新定义“可信知识”的标准？在这场静默的学科权力转移中，哪些价值可能被效率叙事所遮蔽？</w:t>
      </w:r>
    </w:p>
    <w:p w14:paraId="7F3D40B8">
      <w:pPr>
        <w:rPr>
          <w:rFonts w:hint="eastAsia"/>
        </w:rPr>
      </w:pPr>
    </w:p>
    <w:p w14:paraId="79C00F86">
      <w:pPr>
        <w:spacing w:before="0" w:beforeAutospacing="0" w:after="0" w:afterAutospacing="0" w:line="360" w:lineRule="auto"/>
        <w:ind w:firstLine="482" w:firstLineChars="200"/>
        <w:jc w:val="left"/>
        <w:rPr>
          <w:rFonts w:hint="eastAsia"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关键词：AlphaFold 3.1；蛋白质动态模拟；AI for Science；结构生物学；范式变革；学科权力转移</w:t>
      </w:r>
    </w:p>
    <w:p w14:paraId="169F60D2">
      <w:pPr>
        <w:rPr>
          <w:rFonts w:hint="eastAsia"/>
        </w:rPr>
      </w:pPr>
    </w:p>
    <w:p w14:paraId="313F7E6C">
      <w:pPr>
        <w:rPr>
          <w:rFonts w:hint="eastAsia"/>
        </w:rPr>
      </w:pPr>
    </w:p>
    <w:p w14:paraId="4DD00A24">
      <w:pPr>
        <w:spacing w:before="240" w:beforeAutospacing="0" w:after="12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1 引言：一次开源引发的两重震荡</w:t>
      </w:r>
    </w:p>
    <w:p w14:paraId="4E1EF673">
      <w:pPr>
        <w:rPr>
          <w:rFonts w:hint="eastAsia"/>
        </w:rPr>
      </w:pPr>
    </w:p>
    <w:p w14:paraId="18D1169A">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2026年5月31日，谷歌DeepMind在《自然》杂志官网上发布AlphaFold 3.1版本，并宣布模型开源。这不是AI工具的一次常规更新日志，而是一次在科学界和资本市场同时引发震荡的事件。</w:t>
      </w:r>
    </w:p>
    <w:p w14:paraId="6D275192">
      <w:pPr>
        <w:rPr>
          <w:rFonts w:hint="eastAsia"/>
        </w:rPr>
      </w:pPr>
    </w:p>
    <w:p w14:paraId="07B8840A">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科学界，3.1版本首次实现了蛋白质在溶液环境下的动态构象变化模拟，精度从62%跃升至85%。这标志着AI从“看清蛋白质长什么样”迈向了“理解蛋白质如何运动”——从静态结构预测走向动态功能解析。在资本市场，多家跨国药企股价日内剧烈波动，AI制药概念股加速两极分化。</w:t>
      </w:r>
    </w:p>
    <w:p w14:paraId="7B7F8D1A">
      <w:pPr>
        <w:rPr>
          <w:rFonts w:hint="eastAsia"/>
        </w:rPr>
      </w:pPr>
    </w:p>
    <w:p w14:paraId="005BADB6">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本文试图解读的，正是这两重震荡背后的深层意涵。AlphaFold 3.1的技术突破意味着什么？它所引发的学术界的复杂反应——尤其是传统实验方法可能被边缘化的焦虑——揭示了科学范式转换中的何种困境？资本市场的剧烈波动又折射出AI制药产业的何种结构性调整？在“AI for Science”成为大国科技竞赛前沿的当下，这次开源所引发的震动，远超出一个模型版本的常规更新。它正在悄然撬动结构生物学领域延续数十年的知识生产秩序。</w:t>
      </w:r>
    </w:p>
    <w:p w14:paraId="65797B46">
      <w:pPr>
        <w:rPr>
          <w:rFonts w:hint="eastAsia"/>
        </w:rPr>
      </w:pPr>
    </w:p>
    <w:p w14:paraId="087F4C34">
      <w:pPr>
        <w:rPr>
          <w:rFonts w:hint="eastAsia"/>
        </w:rPr>
      </w:pPr>
    </w:p>
    <w:p w14:paraId="24723E01">
      <w:pPr>
        <w:spacing w:before="240" w:beforeAutospacing="0" w:after="12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技术跃迁：从“看清结构”到“理解运动”</w:t>
      </w:r>
    </w:p>
    <w:p w14:paraId="18B906C4">
      <w:pPr>
        <w:rPr>
          <w:rFonts w:hint="eastAsia"/>
        </w:rPr>
      </w:pPr>
    </w:p>
    <w:p w14:paraId="6ACE5433">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要理解AlphaFold 3.1引发的震荡，首先必须理解它在技术维度上究竟完成了怎样的跃迁。</w:t>
      </w:r>
    </w:p>
    <w:p w14:paraId="4284D116">
      <w:pPr>
        <w:rPr>
          <w:rFonts w:hint="eastAsia"/>
        </w:rPr>
      </w:pPr>
    </w:p>
    <w:p w14:paraId="26EFA07F">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2在2020年解决了蛋白质结构预测问题——给定一个氨基酸序列，准确预测其三维折叠结构。这是结构生物学五十年来最重要的突破之一。AlphaFold 3在2024年进一步将预测范围扩展到蛋白质与DNA、RNA、配体、离子等分子的相互作用。这两个版本解决的核心问题是相同的：“这个蛋白质长什么样？”</w:t>
      </w:r>
    </w:p>
    <w:p w14:paraId="6B8A01C6">
      <w:pPr>
        <w:rPr>
          <w:rFonts w:hint="eastAsia"/>
        </w:rPr>
      </w:pPr>
    </w:p>
    <w:p w14:paraId="79895A8B">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3.1开始回答一个更深刻的问题：“这个蛋白质如何运动？”在生理条件下的水溶液环境中，蛋白质不是静止的雕塑，而是持续进行微尺度构象变化的分子机器。酶的催化活性依赖于活性位点的开合运动，受体的信号传导依赖于跨膜螺旋的构象重排，离子通道的选择性依赖于孔隙区域的动态收缩与扩张。理解这些动态过程，是从“知道蛋白质的结构”走向“理解蛋白质的功能”的关键一跃。3.1版本通过引入溶液环境的分子动力学参数和强化学习优化策略，将动态构象预测的准确率提升至85%，首次使计算模拟的动态构象接近实验精度水平。</w:t>
      </w:r>
    </w:p>
    <w:p w14:paraId="3C9D4304">
      <w:pPr>
        <w:rPr>
          <w:rFonts w:hint="eastAsia"/>
        </w:rPr>
      </w:pPr>
    </w:p>
    <w:p w14:paraId="0B3E5EEC">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DeepMind延续了AlphaFold系列的开源战略。全球任何学术实验室和生物技术公司都可以免费获取模型权重和代码。这一决定的深远意义在于：蛋白质动态模拟能力从少数拥有超级计算资源的顶尖机构，扩散至任何具备基本计算条件的研究团队。</w:t>
      </w:r>
    </w:p>
    <w:p w14:paraId="1672448A">
      <w:pPr>
        <w:rPr>
          <w:rFonts w:hint="eastAsia"/>
        </w:rPr>
      </w:pPr>
    </w:p>
    <w:p w14:paraId="104D23E3">
      <w:pPr>
        <w:rPr>
          <w:rFonts w:hint="eastAsia"/>
        </w:rPr>
      </w:pPr>
    </w:p>
    <w:p w14:paraId="325911C0">
      <w:pPr>
        <w:spacing w:before="240" w:beforeAutospacing="0" w:after="12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3 学术界的裂痕：欢呼与隐忧</w:t>
      </w:r>
    </w:p>
    <w:p w14:paraId="30A9B7F5">
      <w:pPr>
        <w:rPr>
          <w:rFonts w:hint="eastAsia"/>
        </w:rPr>
      </w:pPr>
    </w:p>
    <w:p w14:paraId="5CB446C3">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3.1在学术界引发的反应并非同质化的欢呼，而是呈现出清晰的分裂谱系。</w:t>
      </w:r>
    </w:p>
    <w:p w14:paraId="6667698F">
      <w:pPr>
        <w:rPr>
          <w:rFonts w:hint="eastAsia"/>
        </w:rPr>
      </w:pPr>
    </w:p>
    <w:p w14:paraId="6C24B5C1">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结构生物学家群体中，最直接的感受是研究工具的显著升级。此前，动态构象模拟需要昂贵的计算资源和专门的计算生物学团队，大多数实验结构生物学实验室无力承担。AlphaFold 3.1的开源使一个中等规模的学术实验室也能够开展蛋白质动态功能研究，这是工具民主化的胜利。</w:t>
      </w:r>
    </w:p>
    <w:p w14:paraId="28C99E02">
      <w:pPr>
        <w:rPr>
          <w:rFonts w:hint="eastAsia"/>
        </w:rPr>
      </w:pPr>
    </w:p>
    <w:p w14:paraId="5E238D51">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另一种情绪同样真实——部分实验室对“传统结构解析方法被边缘化”的深层焦虑。这种焦虑不是对技术进步的保守抵触，而是对学科生态结构性失衡的合理预警。当计算预测能够以85%的精度完成蛋白质动态模拟，X射线晶体学和冷冻电镜实验在基金申请中的说服力将受到直接冲击。评审专家倾向于追问：“既然AI已经能以足够的精度预测出来，为什么还需要耗时耗力去做实验验证？”这使得实验结构生物学家在项目申请中面临前所未有的合法性挑战。</w:t>
      </w:r>
    </w:p>
    <w:p w14:paraId="0AC777FD">
      <w:pPr>
        <w:rPr>
          <w:rFonts w:hint="eastAsia"/>
        </w:rPr>
      </w:pPr>
    </w:p>
    <w:p w14:paraId="61AF9A07">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深层的危机涉及学科范式转换中的人才断层风险。一个学科的知识生产体系由实验和理论两条腿支撑，两条腿交替向前，学科才能稳健发展。当年轻学者在职业选择时发现，学习蛋白结晶学需要三年才能产出第一个可用数据，而用AlphaFold 3.1输入序列就能在几分钟内得到足够发表的结果，理性选择的结果必然是计算方向的人才涌入、实验方向的人才流失。三十年后，当现有实验结构生物学家退休，新一代研究者中可能找不到能够制备高质量蛋白晶体的人。而AI模型并非一劳永逸——它依赖于实验数据作为训练基础。如果实验数据生产能力因人才断层而萎缩，AI预测精度的天花板也将随之降临。</w:t>
      </w:r>
    </w:p>
    <w:p w14:paraId="51D39DA6">
      <w:pPr>
        <w:rPr>
          <w:rFonts w:hint="eastAsia"/>
        </w:rPr>
      </w:pPr>
    </w:p>
    <w:p w14:paraId="5F222EF8">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这恰恰是AlphaFold 3.1的悖论性影响：它在短期内极大增强了蛋白质科学的研究能力，但也在长期内可能削弱维持这一能力所需的实验人才基础。这种“成功中的脆弱性”是AI for Science叙事中最容易被忽视的暗面。</w:t>
      </w:r>
    </w:p>
    <w:p w14:paraId="0ECFDC7A">
      <w:pPr>
        <w:rPr>
          <w:rFonts w:hint="eastAsia"/>
        </w:rPr>
      </w:pPr>
    </w:p>
    <w:p w14:paraId="418652C4">
      <w:pPr>
        <w:rPr>
          <w:rFonts w:hint="eastAsia"/>
        </w:rPr>
      </w:pPr>
    </w:p>
    <w:p w14:paraId="7881ACE2">
      <w:pPr>
        <w:spacing w:before="240" w:beforeAutospacing="0" w:after="12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资本市场的分化：AI制药的深层结构调整</w:t>
      </w:r>
    </w:p>
    <w:p w14:paraId="28FF74E2">
      <w:pPr>
        <w:rPr>
          <w:rFonts w:hint="eastAsia"/>
        </w:rPr>
      </w:pPr>
    </w:p>
    <w:p w14:paraId="2DBCC698">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资本市场的反应同样呈现分化态势。这种分化可以从药物研发产业链的深层结构调整中寻找解释。</w:t>
      </w:r>
    </w:p>
    <w:p w14:paraId="3D0A80C8">
      <w:pPr>
        <w:rPr>
          <w:rFonts w:hint="eastAsia"/>
        </w:rPr>
      </w:pPr>
    </w:p>
    <w:p w14:paraId="4B075E77">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3.1降低的是药物研发中“结构解析”这一环节的成本和时间。这对不同类型的药企意味着截然不同的商业后果。手握大量未开发药物靶点和临床管线的制药巨头，研发效率可能因计算工具的升级而显著获益——一个靶点蛋白的结构解析从数月压缩至数小时，意味着整个临床前研发管线的速率大幅提升。但对于以传统结构解析服务为核心业务的生物技术公司而言，AlphaFold 3.1的发布无异于一次商业模式的降维打击——它们赖以生存的技术壁垒被开源模型所穿透。</w:t>
      </w:r>
    </w:p>
    <w:p w14:paraId="769C93CC">
      <w:pPr>
        <w:rPr>
          <w:rFonts w:hint="eastAsia"/>
        </w:rPr>
      </w:pPr>
    </w:p>
    <w:p w14:paraId="70A04AFB">
      <w:pPr>
        <w:rPr>
          <w:rFonts w:hint="eastAsia"/>
        </w:rPr>
      </w:pPr>
      <w:r>
        <w:rPr>
          <w:rFonts w:hint="eastAsia"/>
        </w:rPr>
        <w:t>更深层的调整发生在竞争格局层面。AI制药领域正在从“是否拥有AI工具”的初级竞争，转向“如何整合AI工具与实验能力”的高级竞争。单纯拥有AI预测能力的公司正失去差异化优势——当DeepMind将最先进的预测模型开源给全世界时，这些公司的核心技术壁垒一夜之间坍塌。而能够将AI预测与专有实验平台深度整合、形成“干实验+湿实验”闭环的公司，其相对竞争力反而因开源而增强——因为它们的护城河不在于模型本身，而在于使用模型解释实验结果、指导下一轮实验迭代的能力。</w:t>
      </w:r>
    </w:p>
    <w:p w14:paraId="32F06811">
      <w:pPr>
        <w:rPr>
          <w:rFonts w:hint="eastAsia"/>
        </w:rPr>
      </w:pPr>
    </w:p>
    <w:p w14:paraId="5A0AB042">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药企股价的震荡表面上是AlphaFold 3.1触发的短期波动，实质上揭示的是AI制药产业正经历一场不可逆的结构性权力转移——从掌握AI工具的一方，转向掌握“AI+实验”闭环的一方。AlphaFold 3.1不是一个孤立的技术产品，而是这场权力转移的加速器。</w:t>
      </w:r>
    </w:p>
    <w:p w14:paraId="54F558CD">
      <w:pPr>
        <w:rPr>
          <w:rFonts w:hint="eastAsia"/>
        </w:rPr>
      </w:pPr>
    </w:p>
    <w:p w14:paraId="12880B8C">
      <w:pPr>
        <w:rPr>
          <w:rFonts w:hint="eastAsia"/>
        </w:rPr>
      </w:pPr>
    </w:p>
    <w:p w14:paraId="7933B4E2">
      <w:pPr>
        <w:spacing w:before="240" w:beforeAutospacing="0" w:after="12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5 AI for Science的“证词危机”：85%的精度够不够？</w:t>
      </w:r>
    </w:p>
    <w:p w14:paraId="5F865D3B">
      <w:pPr>
        <w:rPr>
          <w:rFonts w:hint="eastAsia"/>
        </w:rPr>
      </w:pPr>
    </w:p>
    <w:p w14:paraId="143BF920">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3.1引发的震荡，在更深层次上触及了AI for Science范式的根本追问：当AI的预测精度达到85%，我们应该在多大程度上信任它？</w:t>
      </w:r>
    </w:p>
    <w:p w14:paraId="77DDE02C">
      <w:pPr>
        <w:rPr>
          <w:rFonts w:hint="eastAsia"/>
        </w:rPr>
      </w:pPr>
    </w:p>
    <w:p w14:paraId="4C1F55B8">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科学实践中，85%是一个微妙的数字。它足够高，使得AI的预测在很多场景中可以替代耗时长、成本高的实验验证。但它又不够高，意味着在每五次预测中就有一次可能是错的。对于一个正在开发中的候选药物，如果AlphaFold 3.1预测的蛋白质构象在那15%的错误率之内，基于此设计的小分子抑制剂将完全脱靶。当制药企业将越来越大的研发预算押注在AI预测的靶点结构上，那15%的误差所对应的不是学术论文的修正，而是数以亿计的研发资金付诸东流。</w:t>
      </w:r>
    </w:p>
    <w:p w14:paraId="40B632E7">
      <w:pPr>
        <w:rPr>
          <w:rFonts w:hint="eastAsia"/>
        </w:rPr>
      </w:pPr>
    </w:p>
    <w:p w14:paraId="1EF26789">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这引发了AI for Science时代一个深刻的科学哲学问题。实验科学的信任基础建立在可重复的物理证据之上——X射线衍射图谱、冷冻电镜密度图、核磁共振谱图，这些是由物理仪器直接记录的、可被任何独立实验室重复观测的客观信号。当AI预测与实验证据冲突时，科学家有明确的认识论优先级：相信实验。但当AI预测的精度逐步逼近甚至超过实验精度——在蛋白质动态构象这类实验方法难以精确捕捉的领域——优先级的排序开始模糊。一个冷冻电镜实验存在制样过程中的构象偏倚，X射线晶体学捕捉到的是蛋白质在特定结晶条件下的静态结构，而AlphaFold 3.1给出的是在溶液环境中统计意义上最可能的动态构象系综。当AI预测与实验证据出现分歧时，不一定就是AI“错了”——也可能是实验方法本身的限制使其未能捕捉到真实的动态构象。但问题在于：谁来裁定？以什么标准裁定？在传统科学中，实验是理论的最终仲裁者。在AI for Science时代，这个角色正在经受考验。这不只是一个技术问题，更是一个认识论问题。</w:t>
      </w:r>
    </w:p>
    <w:p w14:paraId="73F51483">
      <w:pPr>
        <w:rPr>
          <w:rFonts w:hint="eastAsia"/>
        </w:rPr>
      </w:pPr>
    </w:p>
    <w:p w14:paraId="7C8B33D7">
      <w:pPr>
        <w:rPr>
          <w:rFonts w:hint="eastAsia"/>
        </w:rPr>
      </w:pPr>
    </w:p>
    <w:p w14:paraId="0C70AE56">
      <w:pPr>
        <w:spacing w:before="240" w:beforeAutospacing="0" w:after="12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6 结论：AI for Science的“负责任创新”</w:t>
      </w:r>
    </w:p>
    <w:p w14:paraId="1142DBC3">
      <w:pPr>
        <w:rPr>
          <w:rFonts w:hint="eastAsia"/>
        </w:rPr>
      </w:pPr>
    </w:p>
    <w:p w14:paraId="02541EE4">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3.1的发布与开源，在技术上是一次里程碑式的突破，在学术界引发了复杂的情绪分裂，在资本市场上加速了AI制药产业的权力转移，在科学认识论上提出了关于“可信知识”标准的深刻追问。将这四个维度放在一起审视，一个共同的命题浮现出来：当AI从科学研究的辅助工具成长为能够在核心环节替代实验的“准同行”，科学共同体需要建立什么样的制度安排来确保这种替代是负责任的？</w:t>
      </w:r>
    </w:p>
    <w:p w14:paraId="37A8B44E">
      <w:pPr>
        <w:rPr>
          <w:rFonts w:hint="eastAsia"/>
        </w:rPr>
      </w:pPr>
    </w:p>
    <w:p w14:paraId="0FF24808">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DeepMind选择开源是值得肯定的负责任行为——它确保了模型的可访问性和可复现性，使全球科学界能够独立验证其预测结果。但开源本身并不足以应对所有挑战。针对学科生态失衡的风险，科学资助机构需要重新平衡实验科学和计算科学的资金配置，确保实验验证能力不会在计算预测的冲击下不可逆地萎缩。针对85%精度在药物研发中的信任边界问题，学术界和产业界需要共同制定AI预测在药物研发关键决策中的使用标准——在什么精度阈值之上AI预测可以替代实验证据，什么情况下必须进行实验验证，以及当AI预测与实验证据冲突时的仲裁规则。</w:t>
      </w:r>
    </w:p>
    <w:p w14:paraId="27DC803A">
      <w:pPr>
        <w:rPr>
          <w:rFonts w:hint="eastAsia"/>
        </w:rPr>
      </w:pPr>
    </w:p>
    <w:p w14:paraId="1EC91F2F">
      <w:pPr>
        <w:spacing w:before="0" w:beforeAutospacing="0" w:after="0" w:afterAutospacing="0" w:line="360" w:lineRule="auto"/>
        <w:ind w:firstLine="480" w:firstLine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AlphaFold 3.1不是AI for Science的终点，而是整个领域进入深水区的标志性事件。在这个深水区，问题的核心不再是“AI能不能比人类做得更好”，而是“当AI确实做得更好时，人类如何保留对科学过程的最终裁判权”。后者是一个远比前者复杂的社会性命题，它的答案不在开源代码里，而在科学共同体的集体智慧中。</w:t>
      </w:r>
    </w:p>
    <w:p w14:paraId="700EF9AE">
      <w:pPr>
        <w:rPr>
          <w:rFonts w:hint="eastAsia"/>
        </w:rPr>
      </w:pPr>
    </w:p>
    <w:p w14:paraId="11211694">
      <w:pPr>
        <w:rPr>
          <w:rFonts w:hint="eastAsia"/>
        </w:rPr>
      </w:pPr>
    </w:p>
    <w:p w14:paraId="02223500">
      <w:pPr>
        <w:spacing w:before="120" w:beforeAutospacing="0" w:after="60" w:afterAutospacing="0"/>
        <w:jc w:val="left"/>
        <w:rPr>
          <w:rFonts w:hint="eastAsia"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参考文献</w:t>
      </w:r>
    </w:p>
    <w:p w14:paraId="08339D37">
      <w:pPr>
        <w:rPr>
          <w:rFonts w:hint="eastAsia"/>
        </w:rPr>
      </w:pPr>
    </w:p>
    <w:p w14:paraId="2D278FD5">
      <w:pPr>
        <w:spacing w:before="0" w:beforeAutospacing="0" w:after="0" w:afterAutospacing="0" w:line="360" w:lineRule="auto"/>
        <w:ind w:hanging="480" w:hanging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DeepMind. AlphaFold 3.1: Dynamic Conformational Prediction at 85% Accuracy[R/OL]. Nature, 2026-05-31.</w:t>
      </w:r>
    </w:p>
    <w:p w14:paraId="4887A629">
      <w:pPr>
        <w:rPr>
          <w:rFonts w:hint="eastAsia"/>
        </w:rPr>
      </w:pPr>
    </w:p>
    <w:p w14:paraId="1F89D320">
      <w:pPr>
        <w:spacing w:before="0" w:beforeAutospacing="0" w:after="0" w:afterAutospacing="0" w:line="360" w:lineRule="auto"/>
        <w:ind w:hanging="480" w:hanging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谷歌DeepMind. AlphaFold 3.1开源声明[EB/OL]. 2026-05-31.</w:t>
      </w:r>
    </w:p>
    <w:p w14:paraId="3E5CCFC7">
      <w:pPr>
        <w:rPr>
          <w:rFonts w:hint="eastAsia"/>
        </w:rPr>
      </w:pPr>
    </w:p>
    <w:p w14:paraId="55DC570F">
      <w:pPr>
        <w:spacing w:before="0" w:beforeAutospacing="0" w:after="0" w:afterAutospacing="0" w:line="360" w:lineRule="auto"/>
        <w:ind w:hanging="480" w:hanging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路透社. 跨国药企股价波动数据[R]. 2026-05-31.</w:t>
      </w:r>
    </w:p>
    <w:p w14:paraId="1FDE739B">
      <w:pPr>
        <w:rPr>
          <w:rFonts w:hint="eastAsia"/>
        </w:rPr>
      </w:pPr>
    </w:p>
    <w:p w14:paraId="5C8E4F9E">
      <w:pPr>
        <w:spacing w:before="0" w:beforeAutospacing="0" w:after="0" w:afterAutospacing="0" w:line="360" w:lineRule="auto"/>
        <w:ind w:hanging="480" w:hangingChars="200"/>
        <w:rPr>
          <w:rFonts w:hint="eastAsia"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[4] 上海科学智能研究院. AI4S领域最新进展[EB/OL]. 2026-05.</w:t>
      </w:r>
    </w:p>
    <w:p w14:paraId="0E3ED98F">
      <w:pPr>
        <w:spacing w:before="0" w:beforeAutospacing="0" w:after="0" w:afterAutospacing="0" w:line="360" w:lineRule="auto"/>
        <w:ind w:hanging="420" w:hangingChars="200"/>
        <w:rPr>
          <w:rFonts w:hint="eastAsia" w:asciiTheme="minorHAnsi" w:hAnsiTheme="minorHAnsi" w:eastAsiaTheme="minorEastAsia" w:cstheme="minorBidi"/>
          <w:kern w:val="2"/>
          <w:sz w:val="21"/>
          <w:szCs w:val="24"/>
          <w:lang w:val="en-US" w:eastAsia="zh-CN" w:bidi="ar-SA"/>
        </w:rPr>
      </w:pPr>
      <w:r>
        <w:rPr>
          <w:rFonts w:hint="eastAsia"/>
        </w:rPr>
        <w:t>[</w:t>
      </w:r>
      <w:r>
        <w:rPr>
          <w:rFonts w:hint="default" w:ascii="宋体" w:hAnsi="宋体" w:eastAsia="宋体" w:cs="宋体"/>
          <w:kern w:val="2"/>
          <w:sz w:val="24"/>
          <w:szCs w:val="24"/>
          <w:lang w:val="en-US" w:eastAsia="zh-CN" w:bidi="ar-SA"/>
        </w:rPr>
        <w:t>[5] 相关学术评论. AlphaFold 3.1对结构生物学实验方向的冲击[R]. 2026-05-31.</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142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2026-05-31T08:38:57Z</dcterms:created>
  <dc:creator>永远健康</dc:creator>
  <cp:lastModifiedBy>WPS_1719835985</cp:lastModifiedBy>
  <dcterms:modified xsi:type="dcterms:W3CDTF">2026-05-31T08:40:59Z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549D8DBE189A4FE58FD4F6FFD3F8485C_12</vt:lpwstr>
  </property>
</Properties>
</file>