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27217">
      <w:pPr>
        <w:spacing w:before="600" w:beforeAutospacing="0" w:after="300" w:afterAutospacing="0" w:line="360" w:lineRule="auto"/>
        <w:jc w:val="cente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52"/>
          <w:szCs w:val="24"/>
          <w:lang w:val="en-US" w:eastAsia="zh-CN" w:bidi="ar-SA"/>
        </w:rPr>
        <w:t xml:space="preserve"> 被偷走的声音：AI时代的人格权困境与制度回应</w:t>
      </w:r>
      <w:r>
        <w:rPr>
          <w:rFonts w:hint="default" w:ascii="黑体" w:hAnsi="宋体" w:eastAsia="黑体" w:cs="黑体"/>
          <w:b/>
          <w:bCs/>
          <w:kern w:val="2"/>
          <w:sz w:val="52"/>
          <w:szCs w:val="24"/>
          <w:lang w:val="en-US" w:eastAsia="zh-CN" w:bidi="ar-SA"/>
        </w:rPr>
        <w:t>——以“胖东来AI声音侵权”为例</w:t>
      </w:r>
      <w:bookmarkStart w:id="0" w:name="_GoBack"/>
      <w:bookmarkEnd w:id="0"/>
    </w:p>
    <w:p w14:paraId="6846BDAC">
      <w:pPr>
        <w:rPr>
          <w:rFonts w:hint="eastAsia"/>
        </w:rPr>
      </w:pPr>
    </w:p>
    <w:p w14:paraId="441C128D">
      <w:pPr>
        <w:rPr>
          <w:rFonts w:hint="eastAsia" w:eastAsiaTheme="minorEastAsia"/>
          <w:lang w:eastAsia="zh-CN"/>
        </w:rPr>
      </w:pPr>
      <w:r>
        <w:rPr>
          <w:rFonts w:hint="eastAsia"/>
        </w:rPr>
        <w:t>AIGC使用声明</w:t>
      </w:r>
    </w:p>
    <w:p w14:paraId="42DDB602">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1D58D092">
      <w:pPr>
        <w:rPr>
          <w:rFonts w:hint="eastAsia"/>
        </w:rPr>
      </w:pPr>
    </w:p>
    <w:p w14:paraId="6CA63A71">
      <w:pPr>
        <w:rPr>
          <w:rFonts w:hint="eastAsia"/>
        </w:rPr>
      </w:pPr>
    </w:p>
    <w:p w14:paraId="4C2FC7A7">
      <w:pPr>
        <w:spacing w:before="300" w:beforeAutospacing="0" w:after="2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摘要</w:t>
      </w:r>
    </w:p>
    <w:p w14:paraId="6427C74E">
      <w:pPr>
        <w:rPr>
          <w:rFonts w:hint="eastAsia"/>
        </w:rPr>
      </w:pPr>
    </w:p>
    <w:p w14:paraId="55D2A1C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河南知名商超“胖东来”创始人于东来的声音被AI合成，用于在短视频平台为一款白酒虚假带货。合成声音高度模仿于东来的音色和语气，并嵌入“顾客至上”等具有强烈企业辨识度的话术。于东来本人回应“听完很受伤”，其团队已准备采取法律行动。这是国内首例企业家因AI声音权被侵犯而引发的大型公众讨论，将人格权保护从“面孔”推向了“声音”。本文从法理、人情和治理三个维度剖析此案的核心启示：在法理层面，我国《民法典》虽已确立声音权保护的基本框架，但概括性的立法面对AI合成声音的认定标准、赔偿计算和追责路径的“三维空白”时，陷入了制度性供给不足的困境。在人情层面，于东来的“受伤”揭示了AI人格权侵害的独特形态——不是传统的贬损性侵害，而是“信任资产的隐蔽提取”，这一新型损害在现行侵权赔偿体系中找不到明确的量化依据。在治理层面，本文提出从细化声音权的可识别性认定标准、引入举证责任倒置减轻受害人维权负担、建立阶梯式赔偿与惩罚性赔偿并行机制三个维度，构建回应AI技术挑战的人格权保护制度框架。</w:t>
      </w:r>
    </w:p>
    <w:p w14:paraId="79ADFD29">
      <w:pPr>
        <w:rPr>
          <w:rFonts w:hint="eastAsia"/>
        </w:rPr>
      </w:pPr>
    </w:p>
    <w:p w14:paraId="6588E762">
      <w:pPr>
        <w:spacing w:before="2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关键词：AI声音权；人格权；《民法典》；侵权责任；举证责任倒置；惩罚性赔偿</w:t>
      </w:r>
    </w:p>
    <w:p w14:paraId="0FADB97A">
      <w:pPr>
        <w:rPr>
          <w:rFonts w:hint="eastAsia"/>
        </w:rPr>
      </w:pPr>
    </w:p>
    <w:p w14:paraId="74684AA2">
      <w:pPr>
        <w:rPr>
          <w:rFonts w:hint="eastAsia"/>
        </w:rPr>
      </w:pPr>
    </w:p>
    <w:p w14:paraId="632D7938">
      <w:pPr>
        <w:spacing w:before="400" w:beforeAutospacing="0" w:after="2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1 引言：一则假视频里的真危机</w:t>
      </w:r>
    </w:p>
    <w:p w14:paraId="7A514C33">
      <w:pPr>
        <w:rPr>
          <w:rFonts w:hint="eastAsia"/>
        </w:rPr>
      </w:pPr>
    </w:p>
    <w:p w14:paraId="3416617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河南许昌，胖东来商贸集团的办公室里，创始人于东来点开了一段在短视频平台上广泛传播的视频。画面中，一个他从未代言过的白酒品牌正在被“他自己”热情推介。“他”的声音温和恳切，用着胖东来标志性的“顾客至上”口吻，耐心讲解酿造工艺和品鉴方法。语气、节奏、停顿——一切听起来都是于东来本人。但于东来从未说过这些话，更不曾为这款白酒做过任何推广。</w:t>
      </w:r>
    </w:p>
    <w:p w14:paraId="56249C58">
      <w:pPr>
        <w:rPr>
          <w:rFonts w:hint="eastAsia"/>
        </w:rPr>
      </w:pPr>
    </w:p>
    <w:p w14:paraId="42D9186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这不是于东来的声音，而是一个AI系统根据他过往公开演讲、采访录音训练出的合成声音。于东来随后回应：“听完很受伤，这不是我在说话。”</w:t>
      </w:r>
    </w:p>
    <w:p w14:paraId="2024AE6A">
      <w:pPr>
        <w:rPr>
          <w:rFonts w:hint="eastAsia"/>
        </w:rPr>
      </w:pPr>
    </w:p>
    <w:p w14:paraId="1C733B7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起事件迅速成为国内首例企业家因AI声音权被侵犯而引发的大型公众讨论。但它的意义远不止于新闻热度。在法学视野中，它是AI时代人格权保护边界的一次标志性压力测试——当AI可以精准复制一个人的声音，并赋予其任何话术、立场和商业行为，现行法律体系是否有能力回应这种新型侵害？</w:t>
      </w:r>
    </w:p>
    <w:p w14:paraId="0223931E">
      <w:pPr>
        <w:rPr>
          <w:rFonts w:hint="eastAsia"/>
        </w:rPr>
      </w:pPr>
    </w:p>
    <w:p w14:paraId="0CABDEB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从法理、人情和治理三个维度对此案进行剖析，试图回答三个递进的问题：AI合成声音对现行人格权保护体系构成怎样的制度性挑战？“信任资产的隐蔽提取”这一新型损害是否可以在现行侵权赔偿框架下得到合理救济？面对技术迭代远快于立法修订的现实，制度回应的有效路径应该是什么？</w:t>
      </w:r>
    </w:p>
    <w:p w14:paraId="2238D882">
      <w:pPr>
        <w:rPr>
          <w:rFonts w:hint="eastAsia"/>
        </w:rPr>
      </w:pPr>
    </w:p>
    <w:p w14:paraId="02D0C16A">
      <w:pPr>
        <w:rPr>
          <w:rFonts w:hint="eastAsia"/>
        </w:rPr>
      </w:pPr>
    </w:p>
    <w:p w14:paraId="246243FA">
      <w:pPr>
        <w:spacing w:before="400" w:beforeAutospacing="0" w:after="2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 法理之困：声音权保护的“三维空白”</w:t>
      </w:r>
    </w:p>
    <w:p w14:paraId="78C4CD59">
      <w:pPr>
        <w:rPr>
          <w:rFonts w:hint="eastAsia"/>
        </w:rPr>
      </w:pPr>
    </w:p>
    <w:p w14:paraId="003DC169">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2.1 保护的“空心化”：从立法宣示到司法适用的落差</w:t>
      </w:r>
    </w:p>
    <w:p w14:paraId="6ADA3E35">
      <w:pPr>
        <w:rPr>
          <w:rFonts w:hint="eastAsia"/>
        </w:rPr>
      </w:pPr>
    </w:p>
    <w:p w14:paraId="63D5DE2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我国《民法典》第一千零二十三条明确规定：“对自然人声音的保护，参照适用肖像权保护的有关规定。”这是中国民事立法首次对声音权做出正面回应。从立法技术上看，“参照适用”的表述既确立了声音作为独立人格法益的保护地位，又通过援引肖像权保护规则避开了单独构建声音权制度体系的立法成本。这是一项精巧的制度安排。</w:t>
      </w:r>
    </w:p>
    <w:p w14:paraId="792108C1">
      <w:pPr>
        <w:rPr>
          <w:rFonts w:hint="eastAsia"/>
        </w:rPr>
      </w:pPr>
    </w:p>
    <w:p w14:paraId="0CC395E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正是这一“参照适用”的立法技术，在实际操作中创造了显著的制度缝隙。肖像权保护的核心逻辑建立在视觉可识别性之上——面部特征、体型轮廓等具有客观比对依据，通过肉眼观察或技术鉴定即可得出“是”或“不是”的结论。而声音的可识别性则呈现出本质差异：同一人的声音在不同情绪、健康状况和录制条件下存在巨大的自然波动，缺乏固定不变的“原貌”作为比对基准。更复杂的是，声音特征的识别高度依赖听者的主观感知和经验判断——一个熟悉于东来声音的许昌本地消费者，可能凭一两句话就能“听出来是他”，但对于不熟悉他的人来说，AI合成的细微偏差可能根本无法被察觉。</w:t>
      </w:r>
    </w:p>
    <w:p w14:paraId="6F332A6A">
      <w:pPr>
        <w:rPr>
          <w:rFonts w:hint="eastAsia"/>
        </w:rPr>
      </w:pPr>
    </w:p>
    <w:p w14:paraId="4DEF5AC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就导致了一个尴尬的制度现实：法律宣告了声音权的存在，但当一项具体的AI合成声音被诉至法院时，法官几乎找不到可以据以判定“是侵权还是不侵权”的具体标准。《民法典》第1023条赋予声音权名分，但没有赋予其可操作的认定尺度。保护的“空心化”，是AI声音权面临的第一个制度困境。</w:t>
      </w:r>
    </w:p>
    <w:p w14:paraId="498E1BDD">
      <w:pPr>
        <w:rPr>
          <w:rFonts w:hint="eastAsia"/>
        </w:rPr>
      </w:pPr>
    </w:p>
    <w:p w14:paraId="47C399B7">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2.2 赔偿的“无据可依”：难以量化的“信任折损”</w:t>
      </w:r>
    </w:p>
    <w:p w14:paraId="499B9D78">
      <w:pPr>
        <w:rPr>
          <w:rFonts w:hint="eastAsia"/>
        </w:rPr>
      </w:pPr>
    </w:p>
    <w:p w14:paraId="1FE8EFE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现行侵权赔偿体系对人格权侵害的赔偿计算，主要依据两种路径：一是权利人的实际损失，二是侵权人的违法所得。这两种路径在面对AI声音侵权时均呈现出显著的不适应性。</w:t>
      </w:r>
    </w:p>
    <w:p w14:paraId="61509A32">
      <w:pPr>
        <w:rPr>
          <w:rFonts w:hint="eastAsia"/>
        </w:rPr>
      </w:pPr>
    </w:p>
    <w:p w14:paraId="020E6C7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就实际损失而言，于东来的“受伤”是一个无法被货币化计量的损害。他不是失去了一笔代言费——因为即便没有侵权，他本来也不会代言这款白酒。他失去的是对自己声音的排他性控制权，是对“自己的声音在说什么、为谁说”这一基本人格自主的丧失。这种损害在性质上更接近于精神损害，但现行精神损害赔偿在人格权侵权中的适用标准极为严苛，通常要求“造成严重后果”，而AI声音侵权的隐蔽性恰好在于：它不以直接伤害为手段，而以未经授权的使用为特征，其损害是累积性的、隐性的，难以在个案中被认定为“严重后果”。</w:t>
      </w:r>
    </w:p>
    <w:p w14:paraId="6501A46F">
      <w:pPr>
        <w:rPr>
          <w:rFonts w:hint="eastAsia"/>
        </w:rPr>
      </w:pPr>
    </w:p>
    <w:p w14:paraId="04529D9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就侵权人违法所得而言，侵权视频由匿名的短视频账号发布，违法所得难以追溯。品牌方作为最终受益人，可以轻松地以“不清楚视频来源”为由切割自己与侵权行为的关系。侵权链条上的经济利益清晰可辨，但法律上的责任归属却模糊不清。赔偿的制度功能——使受害人恢复原状、使侵权人付出代价——在此双双落空。</w:t>
      </w:r>
    </w:p>
    <w:p w14:paraId="7497A52C">
      <w:pPr>
        <w:rPr>
          <w:rFonts w:hint="eastAsia"/>
        </w:rPr>
      </w:pPr>
    </w:p>
    <w:p w14:paraId="518FBE17">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2.3 追责的“盾牌迷阵”：平台中立的多重庇护</w:t>
      </w:r>
    </w:p>
    <w:p w14:paraId="799340EA">
      <w:pPr>
        <w:rPr>
          <w:rFonts w:hint="eastAsia"/>
        </w:rPr>
      </w:pPr>
    </w:p>
    <w:p w14:paraId="134AAE9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I声音侵权的产业链条涉及四个主体：AI技术提供方、短视频平台、内容创作者和品牌方。在现行法律框架下，这四个主体几乎各有一面“免责盾牌”。AI技术提供方援引“技术中立”原则，主张自己只是提供工具，不对用户的具体使用行为负责。短视频平台援引“避风港”原则，主张自己只是信息存储空间，在接到通知前不对用户上传内容承担主动审查义务。内容创作者往往以匿名账号出现，身份难以追溯。品牌方则以“不清楚视频来源”“未委托制作”为由切割责任。</w:t>
      </w:r>
    </w:p>
    <w:p w14:paraId="15B2E8FD">
      <w:pPr>
        <w:rPr>
          <w:rFonts w:hint="eastAsia"/>
        </w:rPr>
      </w:pPr>
    </w:p>
    <w:p w14:paraId="4EB0121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侵权链条上的每一个节点都有盾牌，而受害者面对的是由四面盾牌组成的完整庇护体系。更复杂的是，这些盾牌之间的责任划分缺乏明确的法律依据——是AI工具提供者负主要责任，还是平台负主要责任？或者两者承担连带责任？在立法和司法解释对此做出明确回应之前，于东来的维权之路将不可避免地陷入“多头追责但无一担责”的困境。</w:t>
      </w:r>
    </w:p>
    <w:p w14:paraId="1B1D8C1F">
      <w:pPr>
        <w:rPr>
          <w:rFonts w:hint="eastAsia"/>
        </w:rPr>
      </w:pPr>
    </w:p>
    <w:p w14:paraId="74D20013">
      <w:pPr>
        <w:rPr>
          <w:rFonts w:hint="eastAsia"/>
        </w:rPr>
      </w:pPr>
    </w:p>
    <w:p w14:paraId="5324F211">
      <w:pPr>
        <w:spacing w:before="400" w:beforeAutospacing="0" w:after="2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 人情之殇：信任资产的无声剥离</w:t>
      </w:r>
    </w:p>
    <w:p w14:paraId="29C51843">
      <w:pPr>
        <w:rPr>
          <w:rFonts w:hint="eastAsia"/>
        </w:rPr>
      </w:pPr>
    </w:p>
    <w:p w14:paraId="5FA90E27">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3.1 “很受伤”：被偷走的不仅是一句话</w:t>
      </w:r>
    </w:p>
    <w:p w14:paraId="5EDD8CA5">
      <w:pPr>
        <w:rPr>
          <w:rFonts w:hint="eastAsia"/>
        </w:rPr>
      </w:pPr>
    </w:p>
    <w:p w14:paraId="77AB642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于东来的“受伤”不是常规的声誉损害，也不是简单的“被侵权”的愤怒。在河南许昌，他的声音经过了二十余年的持续累积，已经成为一种区域性的信任符号。当地消费者将他的声音与“不卖假货”“无条件退货”“员工持股”等胖东来核心承诺连接在一起。这种信任连接是在时间中缓慢凝结的——他的每一句公开讲话、每一次与顾客交谈，都在加固这个连接。AI合成声音的冒用，从技术角度看是“未经授权的声音复制”，但在社会心理层面，它是将这种经过了二十余年积累的个人信誉，无声地移植到一款他完全不了解的产品上，完成了一次对他商业信誉的寄生性利用。</w:t>
      </w:r>
    </w:p>
    <w:p w14:paraId="6D2383AE">
      <w:pPr>
        <w:rPr>
          <w:rFonts w:hint="eastAsia"/>
        </w:rPr>
      </w:pPr>
    </w:p>
    <w:p w14:paraId="2B44811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他的受伤感并非来自“有人在冒充我”的愤怒，而来自“有人把我最珍视的东西拿走了”的失落。这里被拿走的不是一句特定的言语，而是他对自己声音去向的控制权，以及这种控制权所承载的全部商业信誉和道德声誉。</w:t>
      </w:r>
    </w:p>
    <w:p w14:paraId="7408AF0A">
      <w:pPr>
        <w:rPr>
          <w:rFonts w:hint="eastAsia"/>
        </w:rPr>
      </w:pPr>
    </w:p>
    <w:p w14:paraId="6352745E">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3.2 信任的剥离：AI人格权侵害的独特形态</w:t>
      </w:r>
    </w:p>
    <w:p w14:paraId="5C7E7766">
      <w:pPr>
        <w:rPr>
          <w:rFonts w:hint="eastAsia"/>
        </w:rPr>
      </w:pPr>
    </w:p>
    <w:p w14:paraId="0DEE3A4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于东来案揭示了AI人格权侵害的一种独特形态——信任寄生。传统的名誉权侵害是贬损性的，侵权者通过降低社会对受害人的评价来获利。但AI合成声音的侵害是寄生性的——侵权者利用受害人的信任积累来获利，却不一定降低社会对受害人的评价。</w:t>
      </w:r>
    </w:p>
    <w:p w14:paraId="41CAF991">
      <w:pPr>
        <w:rPr>
          <w:rFonts w:hint="eastAsia"/>
        </w:rPr>
      </w:pPr>
      <w:r>
        <w:rPr>
          <w:rFonts w:hint="eastAsia"/>
        </w:rPr>
        <w:t>这正是这种侵害最隐蔽也最危险之处。于东来不会因为这则假视频就失去消费者的信任，但他的信任被无偿利用了。这种“信任寄生”在现行法律体系中找不到精确对应的规制条款——它不是虚假宣传（因为于东来本就不会做这种宣传），不是传统姓名权侵权（因为视频中没有出现他的名字），也不是名誉权侵害（因为视频没有贬损他，反而用最温和的语气说着最正能量的话）。法律所熟悉的侵害逻辑是“伤害一个人”，而AI声音侵权所呈现的逻辑是“提取一个人的价值”。前者是暴力，后者是寄生。而寄生，在现行人格权保护框架下，几乎是不设防的。</w:t>
      </w:r>
    </w:p>
    <w:p w14:paraId="4147483C">
      <w:pPr>
        <w:rPr>
          <w:rFonts w:hint="eastAsia"/>
        </w:rPr>
      </w:pPr>
    </w:p>
    <w:p w14:paraId="3917F2F8">
      <w:pPr>
        <w:rPr>
          <w:rFonts w:hint="eastAsia"/>
        </w:rPr>
      </w:pPr>
    </w:p>
    <w:p w14:paraId="04F6CFB7">
      <w:pPr>
        <w:spacing w:before="400" w:beforeAutospacing="0" w:after="2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 制度回应：人格权保护的三重路径</w:t>
      </w:r>
    </w:p>
    <w:p w14:paraId="57053FF3">
      <w:pPr>
        <w:rPr>
          <w:rFonts w:hint="eastAsia"/>
        </w:rPr>
      </w:pPr>
    </w:p>
    <w:p w14:paraId="4B4F8DB6">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4.1 权利边界：声音权“可识别性”的认定标准</w:t>
      </w:r>
    </w:p>
    <w:p w14:paraId="05A14E87">
      <w:pPr>
        <w:rPr>
          <w:rFonts w:hint="eastAsia"/>
        </w:rPr>
      </w:pPr>
    </w:p>
    <w:p w14:paraId="6BE0B0D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回应当前声音权保护困境的首要任务，是从立法或司法解释层面为“声音可识别性”建立具体的认定标准。这一标准应当同时包含客观和主观两个维度：在客观维度上，借助声纹鉴定技术参数，评估合成声音在物理特征上与权利人声音的相似度；在主观维度上，以“相关公众的一般注意力”为标准，判断合成声音是否足以使熟悉权利人声音的公众产生误认。两个维度各有功能——客观标准负责技术比对，主观标准负责社会效果的判断，共同构成“可识别性”的完整认定框架。</w:t>
      </w:r>
    </w:p>
    <w:p w14:paraId="2FCA6B3C">
      <w:pPr>
        <w:rPr>
          <w:rFonts w:hint="eastAsia"/>
        </w:rPr>
      </w:pPr>
    </w:p>
    <w:p w14:paraId="2068EE9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引入“相关公众”标准的意义在于，它跳出了“精确复制”还是“轻微仿造”的技术迷宫，直接追问侵权行为的实质效果：是否足以造成公众混淆。这一标准在商标法领域已有成熟应用，将其借鉴至声音权领域具有法理上的同构性和实践上的可操作性。</w:t>
      </w:r>
    </w:p>
    <w:p w14:paraId="4A39A3B3">
      <w:pPr>
        <w:rPr>
          <w:rFonts w:hint="eastAsia"/>
        </w:rPr>
      </w:pPr>
    </w:p>
    <w:p w14:paraId="0DF4201A">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4.2 举证转换：归责机制的制度创新</w:t>
      </w:r>
    </w:p>
    <w:p w14:paraId="7223D417">
      <w:pPr>
        <w:rPr>
          <w:rFonts w:hint="eastAsia"/>
        </w:rPr>
      </w:pPr>
    </w:p>
    <w:p w14:paraId="2D1690E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针对AI声音侵权案件中受害人举证难的制度困境，建议在声音权侵权领域引入举证责任倒置规则。</w:t>
      </w:r>
    </w:p>
    <w:p w14:paraId="4AE0DE92">
      <w:pPr>
        <w:rPr>
          <w:rFonts w:hint="eastAsia"/>
        </w:rPr>
      </w:pPr>
    </w:p>
    <w:p w14:paraId="485928B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具体而言，当原告提交初步证据证明以下事实时，举证责任应当转移至被告：涉案声音与原告声音具有可识别的高度相似性；被告有合理机会接触到原告的声音数据（如原告系公众人物或进行过公开演讲录音）；原告未授权被告使用其声音。此后，由被告承担其“未使用AI技术合成原告声音”或“合成行为经过原告授权”的举证责任。</w:t>
      </w:r>
    </w:p>
    <w:p w14:paraId="18DF193E">
      <w:pPr>
        <w:rPr>
          <w:rFonts w:hint="eastAsia"/>
        </w:rPr>
      </w:pPr>
    </w:p>
    <w:p w14:paraId="438C1ED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举证责任倒置的法理依据在于信息不对称原则。AI声音的合成过程完全处于技术使用方的控制之下，原告无法获取合成模型的参数设置、训练数据来源和使用记录等技术信息。将举证困难的风险分配给信息优势方，符合程序正义的基本要求。</w:t>
      </w:r>
    </w:p>
    <w:p w14:paraId="051DEC31">
      <w:pPr>
        <w:rPr>
          <w:rFonts w:hint="eastAsia"/>
        </w:rPr>
      </w:pPr>
    </w:p>
    <w:p w14:paraId="09FF456D">
      <w:pPr>
        <w:spacing w:before="300" w:beforeAutospacing="0" w:after="1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4.3 阶梯式赔偿：制度威慑的阶梯构建</w:t>
      </w:r>
    </w:p>
    <w:p w14:paraId="6490EC14">
      <w:pPr>
        <w:rPr>
          <w:rFonts w:hint="eastAsia"/>
        </w:rPr>
      </w:pPr>
    </w:p>
    <w:p w14:paraId="3EC48A1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在赔偿制度层面，建议建立一般赔偿与惩罚性赔偿并行的阶梯式赔偿机制。</w:t>
      </w:r>
    </w:p>
    <w:p w14:paraId="500D78E5">
      <w:pPr>
        <w:rPr>
          <w:rFonts w:hint="eastAsia"/>
        </w:rPr>
      </w:pPr>
    </w:p>
    <w:p w14:paraId="1ACF4F5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般赔偿涵盖三项内容：参照权利人同类商业代言的合理许可费计算的财产损害赔偿；根据侵权行为的持续时长、传播范围、权利人精神损害程度等因素综合酌定的精神损害赔偿；以及权利人为制止侵权行为所支付的合理费用。</w:t>
      </w:r>
    </w:p>
    <w:p w14:paraId="6DC77E7A">
      <w:pPr>
        <w:rPr>
          <w:rFonts w:hint="eastAsia"/>
        </w:rPr>
      </w:pPr>
    </w:p>
    <w:p w14:paraId="57B26F0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惩罚性赔偿适用于以下情形：侵权人明知其未获授权仍故意为之；侵权行为涉及食品、药品等关系消费者健康安全的特殊领域；侵权人通过技术手段故意规避平台审核机制或伪造授权证明材料。在这三种情形下，法院有权在一般赔偿的基础上处以一定倍数的惩罚性赔偿，以产生有效的制度威慑。</w:t>
      </w:r>
    </w:p>
    <w:p w14:paraId="1CDD94FD">
      <w:pPr>
        <w:rPr>
          <w:rFonts w:hint="eastAsia"/>
        </w:rPr>
      </w:pPr>
    </w:p>
    <w:p w14:paraId="1092EA8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于东来案的特殊情节恰好触碰了惩罚性赔偿的触发条件。白酒属于食品领域，涉及消费者的健康安全。侵权人合成的带货话术中包含“顾客至上”“只卖对的、不卖贵的”等胖东来式的信任承诺，这些承诺在白酒的真实品质未经胖东来任何把关的情况下，对消费者的购买决策构成实质性误导。这种情节的严重性，使该案具备了适用惩罚性赔偿的法理基础。</w:t>
      </w:r>
    </w:p>
    <w:p w14:paraId="1B7B6ACE">
      <w:pPr>
        <w:rPr>
          <w:rFonts w:hint="eastAsia"/>
        </w:rPr>
      </w:pPr>
    </w:p>
    <w:p w14:paraId="76B609F2">
      <w:pPr>
        <w:rPr>
          <w:rFonts w:hint="eastAsia"/>
        </w:rPr>
      </w:pPr>
    </w:p>
    <w:p w14:paraId="0A2DF126">
      <w:pPr>
        <w:spacing w:before="400" w:beforeAutospacing="0" w:after="2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5 结语：为“受伤”提供制度性的救济</w:t>
      </w:r>
    </w:p>
    <w:p w14:paraId="7D924815">
      <w:pPr>
        <w:rPr>
          <w:rFonts w:hint="eastAsia"/>
        </w:rPr>
      </w:pPr>
    </w:p>
    <w:p w14:paraId="5E9AB27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于东来的一句“很受伤”，将AI时代人格权保护的法理困境转化为一个可感知的人情命题。他的“受伤”来自一种新型侵害——信任被无偿提取——而不仅仅是传统的声誉贬损。这种侵害在现行法律框架中尚无明确的规制条款，但其社会危害性已在个案中清晰呈现。</w:t>
      </w:r>
    </w:p>
    <w:p w14:paraId="0D8714D1">
      <w:pPr>
        <w:rPr>
          <w:rFonts w:hint="eastAsia"/>
        </w:rPr>
      </w:pPr>
    </w:p>
    <w:p w14:paraId="43D084E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法律对人格权的保护，在工业时代处理的是“面孔被冒用”的问题，在互联网时代初期处理的是“信息被泄露”的问题，而在AI时代面对的是“人格被提取”的问题。提取不同于泄露，也不同于冒用——它是将一个人长期积累的声音、语气、话语风格、乃至商业信誉，从人身上剥离，变成可以被他人任意组合利用的“信任模块”。如果法律对此没有回应，人格权保护的底线将在AI时代被悄然侵蚀。</w:t>
      </w:r>
    </w:p>
    <w:p w14:paraId="54AB922D">
      <w:pPr>
        <w:rPr>
          <w:rFonts w:hint="eastAsia"/>
        </w:rPr>
      </w:pPr>
    </w:p>
    <w:p w14:paraId="1F7FF24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提出的三重制度回应——细化声音权可识别性标准、引入举证责任倒置、建立阶梯式赔偿机制——旨在填补现行法律体系在AI人格权侵害面前的制度空白。这些建议的核心指向是一致的：让法律的保护尺度跟得上技术侵害的深度，为每一个被偷走声音的人，提供一条可以走到底的救济之路。</w:t>
      </w:r>
    </w:p>
    <w:p w14:paraId="1B917FA7">
      <w:pPr>
        <w:rPr>
          <w:rFonts w:hint="eastAsia"/>
        </w:rPr>
      </w:pPr>
    </w:p>
    <w:p w14:paraId="367DCEA2">
      <w:pPr>
        <w:rPr>
          <w:rFonts w:hint="eastAsia"/>
        </w:rPr>
      </w:pPr>
    </w:p>
    <w:p w14:paraId="71B8E849">
      <w:pPr>
        <w:spacing w:before="400" w:beforeAutospacing="0" w:after="20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参考文献</w:t>
      </w:r>
    </w:p>
    <w:p w14:paraId="5B8F424B">
      <w:pPr>
        <w:rPr>
          <w:rFonts w:hint="eastAsia"/>
        </w:rPr>
      </w:pPr>
    </w:p>
    <w:p w14:paraId="24102E04">
      <w:pPr>
        <w:spacing w:before="200" w:beforeAutospacing="0" w:after="100" w:afterAutospacing="0"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中华人民共和国民法典（第一千零二十三条）[Z]. 2021.</w:t>
      </w:r>
    </w:p>
    <w:p w14:paraId="6D094A49">
      <w:pPr>
        <w:rPr>
          <w:rFonts w:hint="eastAsia"/>
        </w:rPr>
      </w:pPr>
    </w:p>
    <w:p w14:paraId="7B4BF2F3">
      <w:pPr>
        <w:spacing w:before="200" w:beforeAutospacing="0" w:after="100" w:afterAutospacing="0"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北京互联网法院. 殷女士诉AI声音侵权案判决书[Z]. 2024.</w:t>
      </w:r>
    </w:p>
    <w:p w14:paraId="40E7FC78">
      <w:pPr>
        <w:rPr>
          <w:rFonts w:hint="eastAsia"/>
        </w:rPr>
      </w:pPr>
    </w:p>
    <w:p w14:paraId="2E8FC46F">
      <w:pPr>
        <w:spacing w:before="200" w:beforeAutospacing="0" w:after="100" w:afterAutospacing="0"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国家互联网信息办公室等五部门. 人工智能拟人化互动服务管理暂行办法[Z]. 2026-04-10.</w:t>
      </w:r>
    </w:p>
    <w:p w14:paraId="08ADF301">
      <w:pPr>
        <w:rPr>
          <w:rFonts w:hint="eastAsia"/>
        </w:rPr>
      </w:pPr>
    </w:p>
    <w:p w14:paraId="60CABCCF">
      <w:pPr>
        <w:spacing w:before="200" w:beforeAutospacing="0" w:after="100" w:afterAutospacing="0"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国家互联网信息办公室等三部门. 智能体规范应用与创新发展实施意见[Z]. 2026-05-08.</w:t>
      </w:r>
    </w:p>
    <w:p w14:paraId="6C867D00">
      <w:pPr>
        <w:rPr>
          <w:rFonts w:hint="eastAsia"/>
        </w:rPr>
      </w:pPr>
    </w:p>
    <w:p w14:paraId="78BEC7F5">
      <w:pPr>
        <w:spacing w:before="200" w:beforeAutospacing="0" w:after="100" w:afterAutospacing="0"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国家互联网信息办公室等. 互联网信息服务深度合成管理规定[Z]. 2023.</w:t>
      </w:r>
    </w:p>
    <w:p w14:paraId="200DABB1">
      <w:pPr>
        <w:spacing w:before="200" w:beforeAutospacing="0" w:after="100" w:afterAutospacing="0"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rPr>
        <w:t>[</w:t>
      </w:r>
      <w:r>
        <w:rPr>
          <w:rFonts w:hint="eastAsia" w:asciiTheme="minorHAnsi" w:hAnsiTheme="minorHAnsi" w:eastAsiaTheme="minorEastAsia" w:cstheme="minorBidi"/>
          <w:kern w:val="2"/>
          <w:sz w:val="21"/>
          <w:szCs w:val="24"/>
          <w:lang w:val="en-US" w:eastAsia="zh-CN" w:bidi="ar-SA"/>
        </w:rPr>
        <w:t>[6] 胖东来商贸集团. 于东来本人公开回应[EB/OL]. 2026-05.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546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2026-05-30T03:30:15Z</dcterms:created>
  <dc:creator>永远健康</dc:creator>
  <cp:lastModifiedBy>WPS_1719835985</cp:lastModifiedBy>
  <dcterms:modified xsi:type="dcterms:W3CDTF">2026-05-30T03:35:35Z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F468B349D5CE4E32B362559116D40DAD_12</vt:lpwstr>
  </property>
</Properties>
</file>