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76FEE4">
      <w:pPr>
        <w:jc w:val="center"/>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44"/>
          <w:szCs w:val="24"/>
          <w:lang w:val="en-US" w:eastAsia="zh-CN" w:bidi="ar-SA"/>
        </w:rPr>
        <w:t xml:space="preserve"> 具身智能进入公共执法领域的法律空白与制度补位</w:t>
      </w:r>
    </w:p>
    <w:p w14:paraId="2A7B1914">
      <w:pPr>
        <w:jc w:val="center"/>
        <w:rPr>
          <w:rFonts w:asciiTheme="minorHAnsi" w:hAnsiTheme="minorHAnsi" w:eastAsiaTheme="minorEastAsia" w:cstheme="minorBidi"/>
          <w:kern w:val="2"/>
          <w:sz w:val="21"/>
          <w:szCs w:val="24"/>
          <w:lang w:val="en-US" w:eastAsia="zh-CN" w:bidi="ar-SA"/>
        </w:rPr>
      </w:pPr>
      <w:r>
        <w:rPr>
          <w:rFonts w:hint="default" w:ascii="楷体" w:hAnsi="楷体" w:eastAsia="楷体" w:cs="楷体"/>
          <w:kern w:val="2"/>
          <w:sz w:val="32"/>
          <w:szCs w:val="24"/>
          <w:lang w:val="en-US" w:eastAsia="zh-CN" w:bidi="ar-SA"/>
        </w:rPr>
        <w:t>——以上海浦东人机协同执法试点为切入</w:t>
      </w:r>
    </w:p>
    <w:p w14:paraId="71E41C22">
      <w:pPr>
        <w:rPr>
          <w:rFonts w:hint="eastAsia" w:eastAsiaTheme="minorEastAsia"/>
          <w:lang w:eastAsia="zh-CN"/>
        </w:rPr>
      </w:pPr>
      <w:r>
        <w:rPr>
          <w:rFonts w:hint="eastAsia"/>
        </w:rPr>
        <w:t>AIGC使用声明</w:t>
      </w:r>
    </w:p>
    <w:p w14:paraId="23B4422D">
      <w:pPr>
        <w:rPr>
          <w:rFonts w:hint="eastAsia"/>
        </w:rPr>
      </w:pPr>
      <w:r>
        <w:rPr>
          <w:rFonts w:hint="eastAsia"/>
        </w:rPr>
        <w:t>本论文在写作过程中使用了生成式人工智能工具，具体使用范围如下：语言润色与格式调整——部分段落的文字表达、句式调整、学术格式统一由AI辅助完成。核心观点的提出、全部论证的逻辑推演与结构安排、关键结论的得出均由作者独立完成。</w:t>
      </w:r>
    </w:p>
    <w:p w14:paraId="0C4817EF">
      <w:pPr>
        <w:rPr>
          <w:rFonts w:hint="eastAsia"/>
        </w:rPr>
      </w:pPr>
    </w:p>
    <w:p w14:paraId="74D66EEB">
      <w:pPr>
        <w:rPr>
          <w:rFonts w:hint="eastAsia"/>
        </w:rPr>
      </w:pPr>
    </w:p>
    <w:p w14:paraId="1FDB6775">
      <w:pPr>
        <w:rPr>
          <w:rFonts w:hint="eastAsia"/>
        </w:rPr>
      </w:pPr>
      <w:r>
        <w:rPr>
          <w:rFonts w:hint="eastAsia" w:ascii="黑体" w:hAnsi="宋体" w:eastAsia="黑体" w:cs="黑体"/>
          <w:kern w:val="2"/>
          <w:sz w:val="24"/>
          <w:szCs w:val="24"/>
          <w:lang w:val="en-US" w:eastAsia="zh-CN" w:bidi="ar-SA"/>
        </w:rPr>
        <w:t xml:space="preserve"> 摘要</w:t>
      </w:r>
      <w:bookmarkStart w:id="0" w:name="_GoBack"/>
      <w:bookmarkEnd w:id="0"/>
    </w:p>
    <w:p w14:paraId="10179302">
      <w:pPr>
        <w:rPr>
          <w:rFonts w:hint="eastAsia"/>
        </w:rPr>
      </w:pPr>
      <w:r>
        <w:rPr>
          <w:rFonts w:hint="default" w:ascii="宋体" w:hAnsi="宋体" w:eastAsia="宋体" w:cs="宋体"/>
          <w:kern w:val="2"/>
          <w:sz w:val="24"/>
          <w:szCs w:val="24"/>
          <w:lang w:val="en-US" w:eastAsia="zh-CN" w:bidi="ar-SA"/>
        </w:rPr>
        <w:t>2026年5月，上海浦东开展全国首次人机协同城管执法试点，同时全国首例具身智能机器人保险理赔落地。两个标志性事件揭示出同一个核心问题：当具身智能从实验室进入公共执法领域和开放物理环境，现有法律体系在权力来源与责任归属两端同时陷入“真空”。本文以浦东执法试点为切入，系统分析人形机器人介入执法程序所引发的合法性困境——机器人是否具备“执法”资格、其输出信息的法律效力如何、执法瑕疵的责任由谁承担。同时，结合首例机器人保险理赔事件及学界最新研究成果，论证在正式立法覆盖之前，以强制保险机制倒逼行业规范、以风险分级构建责任框架、以分层授权厘定执法边界的制度补位路径。本文认为，具身智能治理不应陷入“出事才立法”的被动循环，而应在试点中同步构建“保险—标准—法规”梯次衔接的制度缓冲带，使技术创新力与法律约束力在动态平衡中共同演进。</w:t>
      </w:r>
    </w:p>
    <w:p w14:paraId="0712ECAD">
      <w:pPr>
        <w:rPr>
          <w:rFonts w:hint="eastAsia"/>
        </w:rPr>
      </w:pPr>
      <w:r>
        <w:rPr>
          <w:rFonts w:hint="default" w:ascii="宋体" w:hAnsi="宋体" w:eastAsia="宋体" w:cs="宋体"/>
          <w:kern w:val="2"/>
          <w:sz w:val="24"/>
          <w:szCs w:val="24"/>
          <w:lang w:val="en-US" w:eastAsia="zh-CN" w:bidi="ar-SA"/>
        </w:rPr>
        <w:t>关键词：具身智能；人机协同执法；法律空白；责任归属；机器人保险；制度补位</w:t>
      </w:r>
    </w:p>
    <w:p w14:paraId="04444E45">
      <w:pPr>
        <w:rPr>
          <w:rFonts w:hint="eastAsia"/>
        </w:rPr>
      </w:pPr>
      <w:r>
        <w:rPr>
          <w:rFonts w:hint="eastAsia" w:ascii="黑体" w:hAnsi="宋体" w:eastAsia="黑体" w:cs="黑体"/>
          <w:kern w:val="2"/>
          <w:sz w:val="28"/>
          <w:szCs w:val="24"/>
          <w:lang w:val="en-US" w:eastAsia="zh-CN" w:bidi="ar-SA"/>
        </w:rPr>
        <w:t xml:space="preserve"> 1 引言</w:t>
      </w:r>
    </w:p>
    <w:p w14:paraId="6C2C6A52">
      <w:pPr>
        <w:rPr>
          <w:rFonts w:hint="eastAsia"/>
        </w:rPr>
      </w:pPr>
      <w:r>
        <w:rPr>
          <w:rFonts w:hint="default" w:ascii="宋体" w:hAnsi="宋体" w:eastAsia="宋体" w:cs="宋体"/>
          <w:kern w:val="2"/>
          <w:sz w:val="24"/>
          <w:szCs w:val="24"/>
          <w:lang w:val="en-US" w:eastAsia="zh-CN" w:bidi="ar-SA"/>
        </w:rPr>
        <w:t>2026年5月20日，上海浦东张江人工智能创新小镇，一台名为“灵犀X2”的人形机器人跟随城管队员走上街头。根据浦东城管综合执法局的部署，无人机负责空中巡查，机器人负责地面普法和智能问答，执法人员最终做出处置决定。这是全国首次人机协同城管执法试点，官方将其定位为“智能助手”。</w:t>
      </w:r>
    </w:p>
    <w:p w14:paraId="2311B14D">
      <w:pPr>
        <w:rPr>
          <w:rFonts w:hint="eastAsia"/>
        </w:rPr>
      </w:pPr>
      <w:r>
        <w:rPr>
          <w:rFonts w:hint="default" w:ascii="宋体" w:hAnsi="宋体" w:eastAsia="宋体" w:cs="宋体"/>
          <w:kern w:val="2"/>
          <w:sz w:val="24"/>
          <w:szCs w:val="24"/>
          <w:lang w:val="en-US" w:eastAsia="zh-CN" w:bidi="ar-SA"/>
        </w:rPr>
        <w:t>几乎在同一时间，上海的另一端完成了另一项“首次”——全国首例具身智能机器人保险理赔落地，一台作业中倾覆损坏的机器人获得5976.87元赔付。此后，同一险种项下又发生多笔赔付，总金额已超万元。人保财险相关负责人说了一句耐人寻味的话：“机器人保险第一次不只是停留在保单、合同和产品设计中，而是真正走到了商业运营现场。”</w:t>
      </w:r>
    </w:p>
    <w:p w14:paraId="1DEB0812">
      <w:pPr>
        <w:rPr>
          <w:rFonts w:hint="eastAsia"/>
        </w:rPr>
      </w:pPr>
      <w:r>
        <w:rPr>
          <w:rFonts w:hint="default" w:ascii="宋体" w:hAnsi="宋体" w:eastAsia="宋体" w:cs="宋体"/>
          <w:kern w:val="2"/>
          <w:sz w:val="24"/>
          <w:szCs w:val="24"/>
          <w:lang w:val="en-US" w:eastAsia="zh-CN" w:bidi="ar-SA"/>
        </w:rPr>
        <w:t>将这两个事件并置来看，一种制度上的紧张关系便浮现出来：一方面，具身智能已经被赋予了某种公共职能，走进了执法现场，开始对相对人说话、传递信息、产生事实上的影响；另一方面，它一旦“闯祸”了，我们连“谁来赔”的问题都刚刚开始用保险来摸索，更遑论“它凭什么执法”这样更根本的权力来源追问。这提示我们，具身智能的治理问题不是一个可以等待技术成熟后再从容立法的远期议题，而是一个已经发生在街头、亟待制度回应的紧迫现实。</w:t>
      </w:r>
    </w:p>
    <w:p w14:paraId="7D16D903">
      <w:pPr>
        <w:rPr>
          <w:rFonts w:hint="eastAsia"/>
        </w:rPr>
      </w:pPr>
      <w:r>
        <w:rPr>
          <w:rFonts w:hint="default" w:ascii="宋体" w:hAnsi="宋体" w:eastAsia="宋体" w:cs="宋体"/>
          <w:kern w:val="2"/>
          <w:sz w:val="24"/>
          <w:szCs w:val="24"/>
          <w:lang w:val="en-US" w:eastAsia="zh-CN" w:bidi="ar-SA"/>
        </w:rPr>
        <w:t>本文试图以浦东执法试点为切入口，结合首例机器人保险理赔事件，系统分析具身智能进入公共执法领域所暴露出的法律空白，并探讨在正式立法覆盖之前的制度补位路径。</w:t>
      </w:r>
    </w:p>
    <w:p w14:paraId="5C9B609A">
      <w:pPr>
        <w:rPr>
          <w:rFonts w:hint="eastAsia"/>
        </w:rPr>
      </w:pPr>
      <w:r>
        <w:rPr>
          <w:rFonts w:hint="eastAsia" w:ascii="黑体" w:hAnsi="宋体" w:eastAsia="黑体" w:cs="黑体"/>
          <w:kern w:val="2"/>
          <w:sz w:val="28"/>
          <w:szCs w:val="24"/>
          <w:lang w:val="en-US" w:eastAsia="zh-CN" w:bidi="ar-SA"/>
        </w:rPr>
        <w:t xml:space="preserve"> 2 两个标志性事件的制度镜像</w:t>
      </w:r>
    </w:p>
    <w:p w14:paraId="77722B6B">
      <w:pPr>
        <w:rPr>
          <w:rFonts w:hint="eastAsia"/>
        </w:rPr>
      </w:pPr>
      <w:r>
        <w:rPr>
          <w:rFonts w:hint="eastAsia" w:ascii="黑体" w:hAnsi="宋体" w:eastAsia="黑体" w:cs="黑体"/>
          <w:kern w:val="2"/>
          <w:sz w:val="24"/>
          <w:szCs w:val="24"/>
          <w:lang w:val="en-US" w:eastAsia="zh-CN" w:bidi="ar-SA"/>
        </w:rPr>
        <w:t xml:space="preserve"> 2.1 浦东执法试点：被精心设计的“责任防火墙”</w:t>
      </w:r>
    </w:p>
    <w:p w14:paraId="341C6803">
      <w:pPr>
        <w:rPr>
          <w:rFonts w:hint="eastAsia"/>
        </w:rPr>
      </w:pPr>
      <w:r>
        <w:rPr>
          <w:rFonts w:hint="default" w:ascii="宋体" w:hAnsi="宋体" w:eastAsia="宋体" w:cs="宋体"/>
          <w:kern w:val="2"/>
          <w:sz w:val="24"/>
          <w:szCs w:val="24"/>
          <w:lang w:val="en-US" w:eastAsia="zh-CN" w:bidi="ar-SA"/>
        </w:rPr>
        <w:t>浦东试点的核心制度设计可以概括为六个字：“空中天眼、地面跑腿、人类拍板”。无人机发现违规商户，机器人前往现场进行普法宣传和政策解释，执法人员在前两步完成后再出面做出现场研判和规范处置。浦东城管综合执法局副分队长潘卫佳明确表示：“人形机器人目前并不是替代一线执法人员，而是在城市管理执法中成为一个新的‘智能助手’。”</w:t>
      </w:r>
    </w:p>
    <w:p w14:paraId="1CBC442A">
      <w:pPr>
        <w:rPr>
          <w:rFonts w:hint="eastAsia"/>
        </w:rPr>
      </w:pPr>
      <w:r>
        <w:rPr>
          <w:rFonts w:hint="default" w:ascii="宋体" w:hAnsi="宋体" w:eastAsia="宋体" w:cs="宋体"/>
          <w:kern w:val="2"/>
          <w:sz w:val="24"/>
          <w:szCs w:val="24"/>
          <w:lang w:val="en-US" w:eastAsia="zh-CN" w:bidi="ar-SA"/>
        </w:rPr>
        <w:t>从制度设计角度看，这是一个精心构筑的“责任防火墙”：机器人只输出信息，不输出决定；只承担沟通辅助职能，不行使执法裁量权。在现行法律框架下，这一安排巧妙地规避了“机器人执法是否合法”的尖锐追问——既然最终决定是由有执法资格的人类队员做出的，那么机器人就没有越俎代庖。</w:t>
      </w:r>
    </w:p>
    <w:p w14:paraId="21F2A32C">
      <w:pPr>
        <w:rPr>
          <w:rFonts w:hint="eastAsia"/>
        </w:rPr>
      </w:pPr>
      <w:r>
        <w:rPr>
          <w:rFonts w:hint="default" w:ascii="宋体" w:hAnsi="宋体" w:eastAsia="宋体" w:cs="宋体"/>
          <w:kern w:val="2"/>
          <w:sz w:val="24"/>
          <w:szCs w:val="24"/>
          <w:lang w:val="en-US" w:eastAsia="zh-CN" w:bidi="ar-SA"/>
        </w:rPr>
        <w:t>然而，防火墙的搭建恰恰暴露了其试图隔离的风险。如果机器人只是一个人形宣传架，为什么需要“小步快跑、试点先行”？官方公布的后续推广评估依据中，明确将“法规适用度”列为关键指标之一，这表明政策制定者清楚地意识到，这层防火墙本身只是过渡方案，而非终极答案。</w:t>
      </w:r>
    </w:p>
    <w:p w14:paraId="3EB66357">
      <w:pPr>
        <w:rPr>
          <w:rFonts w:hint="eastAsia"/>
        </w:rPr>
      </w:pPr>
      <w:r>
        <w:rPr>
          <w:rFonts w:hint="default" w:ascii="宋体" w:hAnsi="宋体" w:eastAsia="宋体" w:cs="宋体"/>
          <w:kern w:val="2"/>
          <w:sz w:val="24"/>
          <w:szCs w:val="24"/>
          <w:lang w:val="en-US" w:eastAsia="zh-CN" w:bidi="ar-SA"/>
        </w:rPr>
        <w:t>更进一步看，防火墙的内部存在逻辑裂缝。试想以下场景：机器人向商户解释某项规定时出现表述错误，商户据此调整了自己的行为，随后被执法人员依据正确的规定予以处罚——商户的损失由谁承担？或者，机器人表述与执法人员后续处置产生矛盾，导致商户情绪激动、冲突升级并造成人身财产损害——责任链条如何追溯？在这些场景中，机器人虽然“不拍板”，但它输出的信息已经实质性地介入到了执法过程的因果链条之中。将机器人定性为“纯辅助设备”掩盖了这一介入的实质性，却没有消除与之相伴的法律风险。</w:t>
      </w:r>
    </w:p>
    <w:p w14:paraId="2490C3B1">
      <w:pPr>
        <w:rPr>
          <w:rFonts w:hint="eastAsia"/>
        </w:rPr>
      </w:pPr>
    </w:p>
    <w:p w14:paraId="1EC9895E">
      <w:pPr>
        <w:rPr>
          <w:rFonts w:hint="eastAsia"/>
        </w:rPr>
      </w:pPr>
      <w:r>
        <w:rPr>
          <w:rFonts w:hint="eastAsia" w:ascii="黑体" w:hAnsi="宋体" w:eastAsia="黑体" w:cs="黑体"/>
          <w:kern w:val="2"/>
          <w:sz w:val="24"/>
          <w:szCs w:val="24"/>
          <w:lang w:val="en-US" w:eastAsia="zh-CN" w:bidi="ar-SA"/>
        </w:rPr>
        <w:t xml:space="preserve"> 2.2 机器人保险理赔：用市场力量回答法律尚未回答的问题</w:t>
      </w:r>
    </w:p>
    <w:p w14:paraId="69598FBF">
      <w:pPr>
        <w:rPr>
          <w:rFonts w:hint="eastAsia"/>
        </w:rPr>
      </w:pPr>
      <w:r>
        <w:rPr>
          <w:rFonts w:hint="default" w:ascii="宋体" w:hAnsi="宋体" w:eastAsia="宋体" w:cs="宋体"/>
          <w:kern w:val="2"/>
          <w:sz w:val="24"/>
          <w:szCs w:val="24"/>
          <w:lang w:val="en-US" w:eastAsia="zh-CN" w:bidi="ar-SA"/>
        </w:rPr>
        <w:t>与执法试点的谨慎控制形成对照，机器人保险理赔事件展示了一条不同的制度探索路径——让市场机制先行填补法律空白。</w:t>
      </w:r>
    </w:p>
    <w:p w14:paraId="082A2DD3">
      <w:pPr>
        <w:rPr>
          <w:rFonts w:hint="eastAsia"/>
        </w:rPr>
      </w:pPr>
      <w:r>
        <w:rPr>
          <w:rFonts w:hint="default" w:ascii="宋体" w:hAnsi="宋体" w:eastAsia="宋体" w:cs="宋体"/>
          <w:kern w:val="2"/>
          <w:sz w:val="24"/>
          <w:szCs w:val="24"/>
          <w:lang w:val="en-US" w:eastAsia="zh-CN" w:bidi="ar-SA"/>
        </w:rPr>
        <w:t>人保财险推出的机器人保险分为两类：本体损失险承保机器人自身损坏，第三者责任险保障机器人造成第三方人身伤亡或财产损失。首例理赔属于前者，金额不大，但其象征意义远超数字本身——它完成了“投保—作业—出险—查勘—定损—赔付”的全流程闭环，证明机器人责任险可以不再是纸面上的产品设计，而是能够运转的商业机制。</w:t>
      </w:r>
    </w:p>
    <w:p w14:paraId="0CBFC396">
      <w:pPr>
        <w:rPr>
          <w:rFonts w:hint="eastAsia"/>
        </w:rPr>
      </w:pPr>
      <w:r>
        <w:rPr>
          <w:rFonts w:hint="default" w:ascii="宋体" w:hAnsi="宋体" w:eastAsia="宋体" w:cs="宋体"/>
          <w:kern w:val="2"/>
          <w:sz w:val="24"/>
          <w:szCs w:val="24"/>
          <w:lang w:val="en-US" w:eastAsia="zh-CN" w:bidi="ar-SA"/>
        </w:rPr>
        <w:t>更重要的是保险产生的“倒逼效应”。机器人租赁平台擎天租CEO李一言透露，平台要求每台入网机器人必须投保，已有超千台机器人投保，累计保额覆盖超2亿元。保险理赔要求故障可追溯、维修有标准、责任可划分——主机厂需要提供标准化维修报价清单和零部件价格体系才能满足保险公司的定损需求。这意味着，保险通过市场契约的方式，正在迫使机器人产业链建立此前一直缺失的规范化售后体系和责任追溯标准。中国保险行业协会也已表示将逐步推进人形机器人保险示范条款，一个由市场驱动的标准制定进程正在悄然展开。</w:t>
      </w:r>
    </w:p>
    <w:p w14:paraId="4A4912CC">
      <w:pPr>
        <w:rPr>
          <w:rFonts w:hint="eastAsia"/>
        </w:rPr>
      </w:pPr>
      <w:r>
        <w:rPr>
          <w:rFonts w:hint="default" w:ascii="宋体" w:hAnsi="宋体" w:eastAsia="宋体" w:cs="宋体"/>
          <w:kern w:val="2"/>
          <w:sz w:val="24"/>
          <w:szCs w:val="24"/>
          <w:lang w:val="en-US" w:eastAsia="zh-CN" w:bidi="ar-SA"/>
        </w:rPr>
        <w:t>但保险的意义边界同样清晰。保险能解决“谁来赔”，却回答不了“谁能做”。当一台具身智能进入执法场景，即便它购买了足额的第三者责任险，它仍然没有取得任何意义上的执法资格。侵权行为可以用钱兜底，执法行为的合法性却必须以法为据。保险机制是侵权法逻辑的延伸，而执法资格的赋予是公法领域的权力配置，两者不可混淆。</w:t>
      </w:r>
    </w:p>
    <w:p w14:paraId="7CFA9BF8">
      <w:pPr>
        <w:rPr>
          <w:rFonts w:hint="eastAsia"/>
        </w:rPr>
      </w:pPr>
      <w:r>
        <w:rPr>
          <w:rFonts w:hint="eastAsia"/>
        </w:rPr>
        <w:t xml:space="preserve"> 3 法律空白的双重维度：权力来源与责任归属</w:t>
      </w:r>
    </w:p>
    <w:p w14:paraId="48B49F95">
      <w:pPr>
        <w:rPr>
          <w:rFonts w:hint="eastAsia"/>
        </w:rPr>
      </w:pPr>
      <w:r>
        <w:rPr>
          <w:rFonts w:hint="eastAsia"/>
        </w:rPr>
        <w:t>将两个事件叠加审视，具身智能进入公共领域所面临的法律空白呈现出一个清晰的二元结构。</w:t>
      </w:r>
    </w:p>
    <w:p w14:paraId="3B15AE04">
      <w:pPr>
        <w:rPr>
          <w:rFonts w:hint="eastAsia"/>
        </w:rPr>
      </w:pPr>
    </w:p>
    <w:p w14:paraId="40B3247C">
      <w:pPr>
        <w:rPr>
          <w:rFonts w:hint="eastAsia"/>
        </w:rPr>
      </w:pPr>
      <w:r>
        <w:rPr>
          <w:rFonts w:hint="eastAsia" w:ascii="黑体" w:hAnsi="宋体" w:eastAsia="黑体" w:cs="黑体"/>
          <w:kern w:val="2"/>
          <w:sz w:val="24"/>
          <w:szCs w:val="24"/>
          <w:lang w:val="en-US" w:eastAsia="zh-CN" w:bidi="ar-SA"/>
        </w:rPr>
        <w:t xml:space="preserve"> 3.1 公法维度：执法参与的权力来源缺失</w:t>
      </w:r>
    </w:p>
    <w:p w14:paraId="2CA46E15">
      <w:pPr>
        <w:rPr>
          <w:rFonts w:hint="eastAsia"/>
        </w:rPr>
      </w:pPr>
      <w:r>
        <w:rPr>
          <w:rFonts w:hint="default" w:ascii="宋体" w:hAnsi="宋体" w:eastAsia="宋体" w:cs="宋体"/>
          <w:kern w:val="2"/>
          <w:sz w:val="24"/>
          <w:szCs w:val="24"/>
          <w:lang w:val="en-US" w:eastAsia="zh-CN" w:bidi="ar-SA"/>
        </w:rPr>
        <w:t>城管执法的权力依据是《行政处罚法》《城市管理执法办法》等法律法规，这些规范对执法主体资格有明确要求——执法人员须取得执法资格，执法活动须以法定主体名义实施。机器人显然不具备这些资格，目前被定位为“执法辅助设备”或“非现场执法的辅助设备”，类似于交通摄像头。</w:t>
      </w:r>
    </w:p>
    <w:p w14:paraId="0C6F308E">
      <w:pPr>
        <w:rPr>
          <w:rFonts w:hint="eastAsia"/>
        </w:rPr>
      </w:pPr>
      <w:r>
        <w:rPr>
          <w:rFonts w:hint="default" w:ascii="宋体" w:hAnsi="宋体" w:eastAsia="宋体" w:cs="宋体"/>
          <w:kern w:val="2"/>
          <w:sz w:val="24"/>
          <w:szCs w:val="24"/>
          <w:lang w:val="en-US" w:eastAsia="zh-CN" w:bidi="ar-SA"/>
        </w:rPr>
        <w:t>但这个类比经不起推敲。交通摄像头是固定的、被动的、功能单一的——它只采集数据，不与人交互，不存在“说错话”的可能。而人形机器人被派到执法现场，开口说话、回答提问、进行“普法”——它在功能上已经进入了“沟通”的维度，而沟通本身就是执法行为的一部分。当一个穿制服的人形机器人站在商户面前，以权威形象传递信息时，它对相对人产生的心理压力和信赖程度，远非一块电子显示屏可比。</w:t>
      </w:r>
    </w:p>
    <w:p w14:paraId="24DF7C80">
      <w:pPr>
        <w:rPr>
          <w:rFonts w:hint="eastAsia"/>
        </w:rPr>
      </w:pPr>
      <w:r>
        <w:rPr>
          <w:rFonts w:hint="default" w:ascii="宋体" w:hAnsi="宋体" w:eastAsia="宋体" w:cs="宋体"/>
          <w:kern w:val="2"/>
          <w:sz w:val="24"/>
          <w:szCs w:val="24"/>
          <w:lang w:val="en-US" w:eastAsia="zh-CN" w:bidi="ar-SA"/>
        </w:rPr>
        <w:t>这正是权力来源问题的核心困境：现行法律没有给“机器人参与执法”预留任何制度接口。没有接口意味着没有准入标准——谁来认定一台机器人是否“合格”到可以上街参与执法？没有程序规范——机器人可以与相对人说什么、不能说什么？没有救济途径——相对人对机器人的言行有异议时，向谁申诉、如何申诉？这些问题在浦东试点的“人类拍板”防火墙中被暂时回避了，但只要试点继续推进，它们迟早会浮出水面。</w:t>
      </w:r>
    </w:p>
    <w:p w14:paraId="393135AE">
      <w:pPr>
        <w:rPr>
          <w:rFonts w:hint="eastAsia"/>
        </w:rPr>
      </w:pPr>
    </w:p>
    <w:p w14:paraId="59974727">
      <w:pPr>
        <w:rPr>
          <w:rFonts w:hint="eastAsia"/>
        </w:rPr>
      </w:pPr>
      <w:r>
        <w:rPr>
          <w:rFonts w:hint="eastAsia" w:ascii="黑体" w:hAnsi="宋体" w:eastAsia="黑体" w:cs="黑体"/>
          <w:kern w:val="2"/>
          <w:sz w:val="24"/>
          <w:szCs w:val="24"/>
          <w:lang w:val="en-US" w:eastAsia="zh-CN" w:bidi="ar-SA"/>
        </w:rPr>
        <w:t xml:space="preserve"> 3.2 私法维度：致害责任归属的结构性困境</w:t>
      </w:r>
    </w:p>
    <w:p w14:paraId="00639947">
      <w:pPr>
        <w:rPr>
          <w:rFonts w:hint="eastAsia"/>
        </w:rPr>
      </w:pPr>
      <w:r>
        <w:rPr>
          <w:rFonts w:hint="default" w:ascii="宋体" w:hAnsi="宋体" w:eastAsia="宋体" w:cs="宋体"/>
          <w:kern w:val="2"/>
          <w:sz w:val="24"/>
          <w:szCs w:val="24"/>
          <w:lang w:val="en-US" w:eastAsia="zh-CN" w:bidi="ar-SA"/>
        </w:rPr>
        <w:t>具身智能区别于纯软件AI的根本特征在于它拥有物理身体，能够与环境发生实质性的物理交互。这意味着它可能撞到人、摔坏东西、因环境感知错误而做出危险动作。当这些情形发生时，责任归属便成为法律必须回答的问题。</w:t>
      </w:r>
    </w:p>
    <w:p w14:paraId="59EA487A">
      <w:pPr>
        <w:rPr>
          <w:rFonts w:hint="eastAsia"/>
        </w:rPr>
      </w:pPr>
      <w:r>
        <w:rPr>
          <w:rFonts w:hint="default" w:ascii="宋体" w:hAnsi="宋体" w:eastAsia="宋体" w:cs="宋体"/>
          <w:kern w:val="2"/>
          <w:sz w:val="24"/>
          <w:szCs w:val="24"/>
          <w:lang w:val="en-US" w:eastAsia="zh-CN" w:bidi="ar-SA"/>
        </w:rPr>
        <w:t>中国社会科学院法学研究所杨延超研究员对此做了精准的诊断：“基于大模型驱动的人形机器人技术正经历从‘工具’到‘自主行动者’的根本性转变，其具身智能特征对传统侵权法体系构成结构性挑战。”这种结构性挑战体现在三个层面：</w:t>
      </w:r>
    </w:p>
    <w:p w14:paraId="4C9E2227">
      <w:pPr>
        <w:rPr>
          <w:rFonts w:hint="eastAsia"/>
        </w:rPr>
      </w:pPr>
      <w:r>
        <w:rPr>
          <w:rFonts w:hint="default" w:ascii="宋体" w:hAnsi="宋体" w:eastAsia="宋体" w:cs="宋体"/>
          <w:kern w:val="2"/>
          <w:sz w:val="24"/>
          <w:szCs w:val="24"/>
          <w:lang w:val="en-US" w:eastAsia="zh-CN" w:bidi="ar-SA"/>
        </w:rPr>
        <w:t>主体层面：人形机器人的半自主性模糊了人与物的边界。传统侵权法中，要么是人（承担过错责任），要么是物（其所有人或管理人担责）。但人形机器人既不是完全受控的被动工具——它能自主决策动作序列，也不是法律意义上的“人”——它没有自由意志和财产能力。这种“半自主”状态导致责任主体归属困境：将它归入“物”的范畴，适用所有人责任，可能对所有人过于苛刻（因为其自主行为超出了所有人的预见范围）；赋予它某种程度的主体地位，又与社会基本的法律观念相冲突。</w:t>
      </w:r>
    </w:p>
    <w:p w14:paraId="79C91DFA">
      <w:pPr>
        <w:rPr>
          <w:rFonts w:hint="eastAsia"/>
        </w:rPr>
      </w:pPr>
      <w:r>
        <w:rPr>
          <w:rFonts w:hint="default" w:ascii="宋体" w:hAnsi="宋体" w:eastAsia="宋体" w:cs="宋体"/>
          <w:kern w:val="2"/>
          <w:sz w:val="24"/>
          <w:szCs w:val="24"/>
          <w:lang w:val="en-US" w:eastAsia="zh-CN" w:bidi="ar-SA"/>
        </w:rPr>
        <w:t>过错维度：传统侵权法以“故意”或“过失”为归责的核心心理要件。但算法的决策过程是统计性的，不存在人类的“意图”或“疏忽”。机器人的一个危险动作，是训练数据的偏差、环境感知的误差、决策算法的错误权重在毫秒间共同作用的涌现结果，与开发者和使用者的主观心理状态之间，隔着一段无法用“过错”概念来把握的距离。</w:t>
      </w:r>
    </w:p>
    <w:p w14:paraId="40A99910">
      <w:pPr>
        <w:rPr>
          <w:rFonts w:hint="eastAsia"/>
        </w:rPr>
      </w:pPr>
      <w:r>
        <w:rPr>
          <w:rFonts w:hint="default" w:ascii="宋体" w:hAnsi="宋体" w:eastAsia="宋体" w:cs="宋体"/>
          <w:kern w:val="2"/>
          <w:sz w:val="24"/>
          <w:szCs w:val="24"/>
          <w:lang w:val="en-US" w:eastAsia="zh-CN" w:bidi="ar-SA"/>
        </w:rPr>
        <w:t>因果关系维度：深度学习模型的内部决策过程具有“黑箱”特征，当机器人发生致害行为时，从输入（传感器数据）到输出（具体动作）的因果链条难以追溯和解释。传统侵权法依赖可证明的因果关系来分配责任，而面对无法解释的因果链，因果推定方法将归于失灵。</w:t>
      </w:r>
    </w:p>
    <w:p w14:paraId="33B1A810">
      <w:pPr>
        <w:rPr>
          <w:rFonts w:hint="eastAsia"/>
        </w:rPr>
      </w:pPr>
      <w:r>
        <w:rPr>
          <w:rFonts w:hint="default" w:ascii="宋体" w:hAnsi="宋体" w:eastAsia="宋体" w:cs="宋体"/>
          <w:kern w:val="2"/>
          <w:sz w:val="24"/>
          <w:szCs w:val="24"/>
          <w:lang w:val="en-US" w:eastAsia="zh-CN" w:bidi="ar-SA"/>
        </w:rPr>
        <w:t>杨延超据此提出了三项制度创新方案：“有限法律人格”制度赋予高度自主的人形机器人在特定范围内的主体地位，通过强制责任保险等机制保障其责任能力；“机器过错”责任体系采用客观化的“功能偏离标准”评价算法行为；“黑箱因果关系”理论通过“损害归属—功能能力—风险范围”三层评估框架破解举证困境。这些方案的共同指向是：传统的侵权法框架已经无法容纳具身智能带来的责任问题，必须进行结构性的制度创新。</w:t>
      </w:r>
    </w:p>
    <w:p w14:paraId="0D6590F1">
      <w:pPr>
        <w:rPr>
          <w:rFonts w:hint="eastAsia"/>
        </w:rPr>
      </w:pPr>
      <w:r>
        <w:rPr>
          <w:rFonts w:hint="eastAsia" w:ascii="黑体" w:hAnsi="宋体" w:eastAsia="黑体" w:cs="黑体"/>
          <w:kern w:val="2"/>
          <w:sz w:val="28"/>
          <w:szCs w:val="24"/>
          <w:lang w:val="en-US" w:eastAsia="zh-CN" w:bidi="ar-SA"/>
        </w:rPr>
        <w:t xml:space="preserve"> 4 制度补位：在试点中构建“保险—标准—法规”梯次缓冲带</w:t>
      </w:r>
    </w:p>
    <w:p w14:paraId="77658C32">
      <w:pPr>
        <w:rPr>
          <w:rFonts w:hint="eastAsia"/>
        </w:rPr>
      </w:pPr>
      <w:r>
        <w:rPr>
          <w:rFonts w:hint="eastAsia" w:ascii="黑体" w:hAnsi="宋体" w:eastAsia="黑体" w:cs="黑体"/>
          <w:kern w:val="2"/>
          <w:sz w:val="28"/>
          <w:szCs w:val="24"/>
          <w:lang w:val="en-US" w:eastAsia="zh-CN" w:bidi="ar-SA"/>
        </w:rPr>
        <w:t>法律制定需要时间，国家发改委正在开展人工智能立法研究，国务院已将AI综合性立法列入2026年度立法工作计划，但成文法从调研到出台通常以年为单位。而具身智能进入街头执法、进入商业运营，已经发生在此刻。在正式立法覆盖之前，制度不能空转。本文认为，应当构建“保险—标准—法规”梯次衔接的制度缓冲带，使试点与治理同步推进。</w:t>
      </w:r>
    </w:p>
    <w:p w14:paraId="6EDC8E43">
      <w:pPr>
        <w:rPr>
          <w:rFonts w:hint="eastAsia"/>
        </w:rPr>
      </w:pPr>
      <w:r>
        <w:rPr>
          <w:rFonts w:hint="eastAsia" w:ascii="黑体" w:hAnsi="宋体" w:eastAsia="黑体" w:cs="黑体"/>
          <w:kern w:val="2"/>
          <w:sz w:val="24"/>
          <w:szCs w:val="24"/>
          <w:lang w:val="en-US" w:eastAsia="zh-CN" w:bidi="ar-SA"/>
        </w:rPr>
        <w:t xml:space="preserve"> 4.1 第一层：强制保险——用风险共担机制先行兜底</w:t>
      </w:r>
    </w:p>
    <w:p w14:paraId="00BC9BE7">
      <w:pPr>
        <w:rPr>
          <w:rFonts w:hint="eastAsia"/>
        </w:rPr>
      </w:pPr>
      <w:r>
        <w:rPr>
          <w:rFonts w:hint="default" w:ascii="宋体" w:hAnsi="宋体" w:eastAsia="宋体" w:cs="宋体"/>
          <w:kern w:val="2"/>
          <w:sz w:val="24"/>
          <w:szCs w:val="24"/>
          <w:lang w:val="en-US" w:eastAsia="zh-CN" w:bidi="ar-SA"/>
        </w:rPr>
        <w:t>第一层缓冲带是强制责任保险。将机器人保险从商业选择上升为市场准入条件，可以收到三重效果：其一，为潜在受害者提供基本的赔偿保障，缓解“伤者求偿无门”的紧张；其二，通过保险产品的定价和核保机制，对不同风险等级的机器人进行市场化筛选——高风险应用的保费更高，从而将风险转化为经营成本，激励使用者和生产者提升安全水平；其三，也是最重要的，保险理赔的查勘定损流程会倒逼产业链建立标准化的故障追溯体系和维修报价体系，为后续制定技术标准和安全规范积累数据基础。</w:t>
      </w:r>
    </w:p>
    <w:p w14:paraId="404CCEC9">
      <w:pPr>
        <w:rPr>
          <w:rFonts w:hint="eastAsia"/>
        </w:rPr>
      </w:pPr>
      <w:r>
        <w:rPr>
          <w:rFonts w:hint="default" w:ascii="宋体" w:hAnsi="宋体" w:eastAsia="宋体" w:cs="宋体"/>
          <w:kern w:val="2"/>
          <w:sz w:val="24"/>
          <w:szCs w:val="24"/>
          <w:lang w:val="en-US" w:eastAsia="zh-CN" w:bidi="ar-SA"/>
        </w:rPr>
        <w:t>浦东试点的机器人如果进一步扩大应用范围，就应当在试点方案中明确要求所有参与执法的机器人投保第三者责任险。这不是把公法问题推给私法解决，而是在公法规范尚付阙如的阶段，先用私法工具兜住最底线的安全网。</w:t>
      </w:r>
    </w:p>
    <w:p w14:paraId="71824B24">
      <w:pPr>
        <w:rPr>
          <w:rFonts w:hint="eastAsia"/>
        </w:rPr>
      </w:pPr>
      <w:r>
        <w:rPr>
          <w:rFonts w:hint="eastAsia" w:ascii="黑体" w:hAnsi="宋体" w:eastAsia="黑体" w:cs="黑体"/>
          <w:kern w:val="2"/>
          <w:sz w:val="24"/>
          <w:szCs w:val="24"/>
          <w:lang w:val="en-US" w:eastAsia="zh-CN" w:bidi="ar-SA"/>
        </w:rPr>
        <w:t xml:space="preserve"> 4.2 第二层：行业标准——用软法填补准入与程序空白</w:t>
      </w:r>
    </w:p>
    <w:p w14:paraId="278ED7DA">
      <w:pPr>
        <w:rPr>
          <w:rFonts w:hint="eastAsia"/>
        </w:rPr>
      </w:pPr>
      <w:r>
        <w:rPr>
          <w:rFonts w:hint="default" w:ascii="宋体" w:hAnsi="宋体" w:eastAsia="宋体" w:cs="宋体"/>
          <w:kern w:val="2"/>
          <w:sz w:val="24"/>
          <w:szCs w:val="24"/>
          <w:lang w:val="en-US" w:eastAsia="zh-CN" w:bidi="ar-SA"/>
        </w:rPr>
        <w:t>第二层缓冲带是行业标准和自律规范。在法律尚未对具身智能执法参与做出明确规定之前，行政主管部门可以通过技术标准、操作规范和试点指南等“软法”形式，为试点行为划定边界。</w:t>
      </w:r>
    </w:p>
    <w:p w14:paraId="0F877B20">
      <w:pPr>
        <w:rPr>
          <w:rFonts w:hint="eastAsia"/>
        </w:rPr>
      </w:pPr>
      <w:r>
        <w:rPr>
          <w:rFonts w:hint="default" w:ascii="宋体" w:hAnsi="宋体" w:eastAsia="宋体" w:cs="宋体"/>
          <w:kern w:val="2"/>
          <w:sz w:val="24"/>
          <w:szCs w:val="24"/>
          <w:lang w:val="en-US" w:eastAsia="zh-CN" w:bidi="ar-SA"/>
        </w:rPr>
        <w:t>具体而言，在执法准入方面，应制定具身智能执法辅助设备的技术标准，明确哪些功能配置的机器人可以进入执法场景，哪些功能（如自主采取强制措施）必须被物理或软件锁定禁用。在操作程序方面，应制定人机协同执法的操作规程，明确规定机器人可以与相对人沟通的内容范围、必须由人类执法人员执行的事项清单，以及机器人言行失误时的处置预案和救济渠道。在信息记录方面，应要求机器人全程记录音视频数据并保留执法过程日志，使每一次人机协同执法的完整交互链条可追溯、可审查。</w:t>
      </w:r>
    </w:p>
    <w:p w14:paraId="4C927BEE">
      <w:pPr>
        <w:rPr>
          <w:rFonts w:hint="eastAsia"/>
        </w:rPr>
      </w:pPr>
      <w:r>
        <w:rPr>
          <w:rFonts w:hint="default" w:ascii="宋体" w:hAnsi="宋体" w:eastAsia="宋体" w:cs="宋体"/>
          <w:kern w:val="2"/>
          <w:sz w:val="24"/>
          <w:szCs w:val="24"/>
          <w:lang w:val="en-US" w:eastAsia="zh-CN" w:bidi="ar-SA"/>
        </w:rPr>
        <w:t>这些标准不必等待上位法出台——它们可以由试点所在城市的城管执法部门与市场监管、科技部门联合制定，以“试行办法”或“技术指南”的形式发布，在试点过程中收集反馈并持续迭代。</w:t>
      </w:r>
    </w:p>
    <w:p w14:paraId="400694AA">
      <w:pPr>
        <w:rPr>
          <w:rFonts w:hint="eastAsia"/>
        </w:rPr>
      </w:pPr>
      <w:r>
        <w:rPr>
          <w:rFonts w:hint="eastAsia" w:ascii="黑体" w:hAnsi="宋体" w:eastAsia="黑体" w:cs="黑体"/>
          <w:kern w:val="2"/>
          <w:sz w:val="24"/>
          <w:szCs w:val="24"/>
          <w:lang w:val="en-US" w:eastAsia="zh-CN" w:bidi="ar-SA"/>
        </w:rPr>
        <w:t xml:space="preserve"> 4.3 第三层：法律法规——将试点经验固化为制度能力</w:t>
      </w:r>
    </w:p>
    <w:p w14:paraId="463F74FB">
      <w:pPr>
        <w:rPr>
          <w:rFonts w:hint="eastAsia"/>
        </w:rPr>
      </w:pPr>
      <w:r>
        <w:rPr>
          <w:rFonts w:hint="default" w:ascii="宋体" w:hAnsi="宋体" w:eastAsia="宋体" w:cs="宋体"/>
          <w:kern w:val="2"/>
          <w:sz w:val="24"/>
          <w:szCs w:val="24"/>
          <w:lang w:val="en-US" w:eastAsia="zh-CN" w:bidi="ar-SA"/>
        </w:rPr>
        <w:t>第三层缓冲带是正式立法。国家发改委正在开展的AI立法研究，应当将具身智能在执法等公共领域的应用作为专项议题纳入立法视野。立法需要回答的核心问题至少包括：具身智能在行政执法程序中的法律地位是什么（执法工具、辅助人员还是被授予特定权限的独立主体）？其产生信息的法律效力如何（是参考信息还是具有推定效力的证据）？相对人对其言行的异议权和救济权如何保障？这些问题在浦东试点中或许还处于被“防火墙”隔离的状态，但随着试点的深化和推广，它们将从理论推演变为现实的行政争议和司法案件。</w:t>
      </w:r>
    </w:p>
    <w:p w14:paraId="0BF1A197">
      <w:pPr>
        <w:rPr>
          <w:rFonts w:hint="eastAsia"/>
        </w:rPr>
      </w:pPr>
      <w:r>
        <w:rPr>
          <w:rFonts w:hint="default" w:ascii="宋体" w:hAnsi="宋体" w:eastAsia="宋体" w:cs="宋体"/>
          <w:kern w:val="2"/>
          <w:sz w:val="24"/>
          <w:szCs w:val="24"/>
          <w:lang w:val="en-US" w:eastAsia="zh-CN" w:bidi="ar-SA"/>
        </w:rPr>
        <w:t>“保险—标准—法规”三级缓冲带并非线性的先后顺序，而是相互反馈的动态循环：保险实践中暴露出的高频风险点，可以指导标准制定的优先级；标准在试点中的执行效果，可以为法规设计提供实证依据；法规确立的原则框架，反过来为保险产品的创新和标准的细化提供稳定的法律预期。</w:t>
      </w:r>
    </w:p>
    <w:p w14:paraId="73E5E401">
      <w:pPr>
        <w:rPr>
          <w:rFonts w:hint="eastAsia"/>
        </w:rPr>
      </w:pPr>
      <w:r>
        <w:rPr>
          <w:rFonts w:hint="eastAsia" w:ascii="黑体" w:hAnsi="宋体" w:eastAsia="黑体" w:cs="黑体"/>
          <w:kern w:val="2"/>
          <w:sz w:val="28"/>
          <w:szCs w:val="24"/>
          <w:lang w:val="en-US" w:eastAsia="zh-CN" w:bidi="ar-SA"/>
        </w:rPr>
        <w:t xml:space="preserve"> 5 结论：不让“试点”成为法律真空的遮羞布</w:t>
      </w:r>
    </w:p>
    <w:p w14:paraId="12C6BCA7">
      <w:pPr>
        <w:rPr>
          <w:rFonts w:hint="eastAsia"/>
        </w:rPr>
      </w:pPr>
      <w:r>
        <w:rPr>
          <w:rFonts w:hint="default" w:ascii="宋体" w:hAnsi="宋体" w:eastAsia="宋体" w:cs="宋体"/>
          <w:kern w:val="2"/>
          <w:sz w:val="24"/>
          <w:szCs w:val="24"/>
          <w:lang w:val="en-US" w:eastAsia="zh-CN" w:bidi="ar-SA"/>
        </w:rPr>
        <w:t>上海一周之内发生的两件事——城管机器人首次上岗、机器人保险首次理赔——表面上分属公共服务和市场运营两个领域，实则从不同方向逼近了同一个核心追问：具身智能正在以不可逆的速度进入我们共享的物理空间和制度空间，而我们的法律是否已经准备好接收它？</w:t>
      </w:r>
    </w:p>
    <w:p w14:paraId="26EBDAF6">
      <w:pPr>
        <w:rPr>
          <w:rFonts w:hint="eastAsia"/>
        </w:rPr>
      </w:pPr>
      <w:r>
        <w:rPr>
          <w:rFonts w:hint="default" w:ascii="宋体" w:hAnsi="宋体" w:eastAsia="宋体" w:cs="宋体"/>
          <w:kern w:val="2"/>
          <w:sz w:val="24"/>
          <w:szCs w:val="24"/>
          <w:lang w:val="en-US" w:eastAsia="zh-CN" w:bidi="ar-SA"/>
        </w:rPr>
        <w:t>浦东执法试点的“人类拍板”防火墙，是一种务实的过渡安排，值得肯定。但如果满足于“只要最终是人类决定就没有法律风险”的表层逻辑，而回避机器人在执法因果链条中已经产生的实质性影响，那么“试点”就有可能从制度探路的前哨，异化为推迟回答难题的盾牌。真正负责任的态度，是在试点推进的同时，让制度设计的步伐至少与机器人的步伐保持同步。</w:t>
      </w:r>
    </w:p>
    <w:p w14:paraId="4B200792">
      <w:pPr>
        <w:rPr>
          <w:rFonts w:hint="eastAsia"/>
        </w:rPr>
      </w:pPr>
      <w:r>
        <w:rPr>
          <w:rFonts w:hint="default" w:ascii="宋体" w:hAnsi="宋体" w:eastAsia="宋体" w:cs="宋体"/>
          <w:kern w:val="2"/>
          <w:sz w:val="24"/>
          <w:szCs w:val="24"/>
          <w:lang w:val="en-US" w:eastAsia="zh-CN" w:bidi="ar-SA"/>
        </w:rPr>
        <w:t>具身智能立法滞后的现实已经被广泛认知。本文试图论证的是：在正式立法这道远水尚未抵达之前，我们并非只能空等。强制保险可以先行兜底，行业标准可以先行筑堤，这些软法和市场机制不是正式立法的替代品，而是为正式立法赢得时间、积累经验的制度补位。当法律终于赶上的那天，它收到的将不是一张白纸，而是一份由保险数据、标准实践和执法案例共同填充的详尽答卷——这才是“试点”二字应有的全部重量。</w:t>
      </w:r>
    </w:p>
    <w:p w14:paraId="3DDAD7EE">
      <w:pPr>
        <w:rPr>
          <w:rFonts w:hint="eastAsia"/>
        </w:rPr>
      </w:pPr>
      <w:r>
        <w:rPr>
          <w:rFonts w:hint="eastAsia" w:ascii="黑体" w:hAnsi="宋体" w:eastAsia="黑体" w:cs="黑体"/>
          <w:kern w:val="2"/>
          <w:sz w:val="28"/>
          <w:szCs w:val="24"/>
          <w:lang w:val="en-US" w:eastAsia="zh-CN" w:bidi="ar-SA"/>
        </w:rPr>
        <w:t xml:space="preserve"> 参考文献</w:t>
      </w:r>
    </w:p>
    <w:p w14:paraId="0087CE12">
      <w:pPr>
        <w:rPr>
          <w:rFonts w:hint="eastAsia"/>
        </w:rPr>
      </w:pPr>
      <w:r>
        <w:rPr>
          <w:rFonts w:hint="default" w:ascii="宋体" w:hAnsi="宋体" w:eastAsia="宋体" w:cs="宋体"/>
          <w:kern w:val="2"/>
          <w:sz w:val="24"/>
          <w:szCs w:val="24"/>
          <w:lang w:val="en-US" w:eastAsia="zh-CN" w:bidi="ar-SA"/>
        </w:rPr>
        <w:t>[1] 浦东城管综合执法局. 全国首次人机协同城管执法试点[EB/OL]. 2026-05-20.</w:t>
      </w:r>
    </w:p>
    <w:p w14:paraId="4F1C151F">
      <w:pPr>
        <w:rPr>
          <w:rFonts w:hint="eastAsia"/>
        </w:rPr>
      </w:pPr>
      <w:r>
        <w:rPr>
          <w:rFonts w:hint="default" w:ascii="宋体" w:hAnsi="宋体" w:eastAsia="宋体" w:cs="宋体"/>
          <w:kern w:val="2"/>
          <w:sz w:val="24"/>
          <w:szCs w:val="24"/>
          <w:lang w:val="en-US" w:eastAsia="zh-CN" w:bidi="ar-SA"/>
        </w:rPr>
        <w:t>[2] 解放日报·上观新闻. 全国首例具身智能机器人保险理赔落地上海[EB/OL]. 2026-05-17.</w:t>
      </w:r>
    </w:p>
    <w:p w14:paraId="626E728D">
      <w:pPr>
        <w:rPr>
          <w:rFonts w:hint="eastAsia"/>
        </w:rPr>
      </w:pPr>
      <w:r>
        <w:rPr>
          <w:rFonts w:hint="default" w:ascii="宋体" w:hAnsi="宋体" w:eastAsia="宋体" w:cs="宋体"/>
          <w:kern w:val="2"/>
          <w:sz w:val="24"/>
          <w:szCs w:val="24"/>
          <w:lang w:val="en-US" w:eastAsia="zh-CN" w:bidi="ar-SA"/>
        </w:rPr>
        <w:t>[3] 杨延超. 人形机器人的侵权责任：从工具到自主行动者的法律挑战[J/OL]. 中国社会科学院法学研究所, 2026.</w:t>
      </w:r>
    </w:p>
    <w:p w14:paraId="2DC58005">
      <w:pPr>
        <w:rPr>
          <w:rFonts w:hint="eastAsia"/>
        </w:rPr>
      </w:pPr>
      <w:r>
        <w:rPr>
          <w:rFonts w:hint="default" w:ascii="宋体" w:hAnsi="宋体" w:eastAsia="宋体" w:cs="宋体"/>
          <w:kern w:val="2"/>
          <w:sz w:val="24"/>
          <w:szCs w:val="24"/>
          <w:lang w:val="en-US" w:eastAsia="zh-CN" w:bidi="ar-SA"/>
        </w:rPr>
        <w:t>[4] 东南大学交通法治与发展研究中心. 关于具身智能交管机器人法律地位的专家意见[EB/OL]. 2026.</w:t>
      </w:r>
    </w:p>
    <w:p w14:paraId="02B96216">
      <w:pPr>
        <w:rPr>
          <w:rFonts w:hint="eastAsia"/>
        </w:rPr>
      </w:pPr>
      <w:r>
        <w:rPr>
          <w:rFonts w:hint="default" w:ascii="宋体" w:hAnsi="宋体" w:eastAsia="宋体" w:cs="宋体"/>
          <w:kern w:val="2"/>
          <w:sz w:val="24"/>
          <w:szCs w:val="24"/>
          <w:lang w:val="en-US" w:eastAsia="zh-CN" w:bidi="ar-SA"/>
        </w:rPr>
        <w:t>[5] 国家发展改革委. 2026年5月份月度新闻发布会[EB/OL]. 2026-05-22.</w:t>
      </w:r>
    </w:p>
    <w:p w14:paraId="4514FF6B">
      <w:pPr>
        <w:rPr>
          <w:rFonts w:hint="eastAsia"/>
        </w:rPr>
      </w:pPr>
      <w:r>
        <w:rPr>
          <w:rFonts w:hint="default" w:ascii="宋体" w:hAnsi="宋体" w:eastAsia="宋体" w:cs="宋体"/>
          <w:kern w:val="2"/>
          <w:sz w:val="24"/>
          <w:szCs w:val="24"/>
          <w:lang w:val="en-US" w:eastAsia="zh-CN" w:bidi="ar-SA"/>
        </w:rPr>
        <w:t>[6] 国务院办公厅. 国务院2026年度立法工作计划[Z]. 国办发〔2026〕17号, 2026-05-08.</w:t>
      </w:r>
    </w:p>
    <w:p w14:paraId="02A48A59">
      <w:pPr>
        <w:rPr>
          <w:rFonts w:hint="eastAsia"/>
        </w:rPr>
      </w:pPr>
      <w:r>
        <w:rPr>
          <w:rFonts w:hint="default" w:ascii="宋体" w:hAnsi="宋体" w:eastAsia="宋体" w:cs="宋体"/>
          <w:kern w:val="2"/>
          <w:sz w:val="24"/>
          <w:szCs w:val="24"/>
          <w:lang w:val="en-US" w:eastAsia="zh-CN" w:bidi="ar-SA"/>
        </w:rPr>
        <w:t>[7] 人机共治法律前沿问题研讨会. 会议共识与杭州倡议[EB/OL]. 2026-05-16.</w:t>
      </w:r>
    </w:p>
    <w:p w14:paraId="4D1AEA7D">
      <w:r>
        <w:rPr>
          <w:rFonts w:hint="default" w:ascii="宋体" w:hAnsi="宋体" w:eastAsia="宋体" w:cs="宋体"/>
          <w:kern w:val="2"/>
          <w:sz w:val="24"/>
          <w:szCs w:val="24"/>
          <w:lang w:val="en-US" w:eastAsia="zh-CN" w:bidi="ar-SA"/>
        </w:rPr>
        <w:t>[8] 人保财险. 具身智能机器人保险产品说明及理赔数据[EB/OL]. 2026-05.</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79A42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5</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2026-05-23T13:18:21Z</dcterms:created>
  <dc:creator>永远健康</dc:creator>
  <cp:lastModifiedBy>WPS_1719835985</cp:lastModifiedBy>
  <dcterms:modified xsi:type="dcterms:W3CDTF">2026-05-23T13:23:23Z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eyJoZGlkIjoiYTYxYTFkMTUxZjYwYjllOGYyNWI2Mjk3YzVhYmMyZDIiLCJ1c2VySWQiOiIxNjEyNDI0NDQyIn0=</vt:lpwstr>
  </property>
  <property fmtid="{D5CDD505-2E9C-101B-9397-08002B2CF9AE}" pid="4" name="ICV">
    <vt:lpwstr>C2FC9A76023E437A851DCA09AE964A78_12</vt:lpwstr>
  </property>
</Properties>
</file>