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E6832">
      <w:pPr>
        <w:spacing w:before="210" w:beforeAutospacing="0" w:after="210" w:afterAutospacing="0"/>
        <w:jc w:val="center"/>
        <w:rPr>
          <w:rFonts w:asciiTheme="minorHAnsi" w:hAnsiTheme="minorHAnsi" w:eastAsiaTheme="minorEastAsia" w:cstheme="minorBidi"/>
          <w:b/>
          <w:bCs/>
          <w:kern w:val="2"/>
          <w:sz w:val="21"/>
          <w:szCs w:val="24"/>
          <w:lang w:val="en-US" w:eastAsia="zh-CN" w:bidi="ar-SA"/>
        </w:rPr>
      </w:pPr>
      <w:bookmarkStart w:id="0" w:name="_GoBack"/>
      <w:r>
        <w:rPr>
          <w:rFonts w:hint="default" w:ascii="黑体" w:hAnsi="宋体" w:eastAsia="黑体" w:cs="黑体"/>
          <w:b/>
          <w:bCs/>
          <w:kern w:val="2"/>
          <w:sz w:val="44"/>
          <w:szCs w:val="24"/>
          <w:lang w:val="en-US" w:eastAsia="zh-CN" w:bidi="ar-SA"/>
        </w:rPr>
        <w:t xml:space="preserve"> 少数人的赌局，多数人的赌注——AI资本狂潮下的权力重构</w:t>
      </w:r>
    </w:p>
    <w:bookmarkEnd w:id="0"/>
    <w:p w14:paraId="1D85C650">
      <w:pPr>
        <w:rPr>
          <w:rFonts w:hint="eastAsia" w:eastAsiaTheme="minorEastAsia"/>
          <w:lang w:eastAsia="zh-CN"/>
        </w:rPr>
      </w:pPr>
      <w:r>
        <w:rPr>
          <w:rFonts w:hint="eastAsia"/>
        </w:rPr>
        <w:t>AIGC使用声明</w:t>
      </w:r>
    </w:p>
    <w:p w14:paraId="70BE92B3">
      <w:pPr>
        <w:rPr>
          <w:rFonts w:hint="eastAsi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55FEA7F6">
      <w:pPr>
        <w:rPr>
          <w:rFonts w:hint="eastAsia"/>
        </w:rPr>
      </w:pPr>
      <w:r>
        <w:rPr>
          <w:rFonts w:hint="eastAsia"/>
        </w:rPr>
        <w:t>---</w:t>
      </w:r>
    </w:p>
    <w:p w14:paraId="4F8FBF6E">
      <w:pPr>
        <w:rPr>
          <w:rFonts w:hint="eastAsia"/>
        </w:rPr>
      </w:pPr>
    </w:p>
    <w:p w14:paraId="0C623B0C">
      <w:pPr>
        <w:rPr>
          <w:rFonts w:hint="eastAsia"/>
        </w:rPr>
      </w:pPr>
      <w:r>
        <w:rPr>
          <w:rFonts w:hint="eastAsia"/>
        </w:rPr>
        <w:t xml:space="preserve"> 摘要</w:t>
      </w:r>
    </w:p>
    <w:p w14:paraId="79675E14">
      <w:pPr>
        <w:rPr>
          <w:rFonts w:hint="eastAsia"/>
        </w:rPr>
      </w:pPr>
    </w:p>
    <w:p w14:paraId="19EBD1F1">
      <w:pPr>
        <w:rPr>
          <w:rFonts w:hint="eastAsia"/>
        </w:rPr>
      </w:pPr>
      <w:r>
        <w:rPr>
          <w:rFonts w:hint="default" w:ascii="宋体" w:hAnsi="宋体" w:eastAsia="宋体" w:cs="宋体"/>
          <w:kern w:val="2"/>
          <w:sz w:val="24"/>
          <w:szCs w:val="24"/>
          <w:lang w:val="en-US" w:eastAsia="zh-CN" w:bidi="ar-SA"/>
        </w:rPr>
        <w:t>2026年5月，中国AI行业上演了一场史无前例的资本盛宴：DeepSeek以450亿美元估值寻求700亿元首轮融资，智谱AI与百川智能同步推进巨额融资，三大头部企业一周内合计融资近千亿元。宁德时代以64亿元控股数据中心龙头世纪互联，国家人工智能产业投资基金首次进军大模型赛道。与此同时，OpenAI从非营利到商业化的转型在马斯克“世纪诉讼”中被彻底暴露在法庭之上，全球四大科技巨头2026年AI资本开支计划高达7250亿美元。本文从政治经济学视角出发，剖析这一资本狂潮背后的三重权力重构——资本集中化导致的创新垄断、基础设施资本化带来的沉没成本锁定、以及国家资本与产业资本的深度协同——揭示“烧钱叙事”并非非理性投机，而是一场以公共利益为赌注的制度性权力再分配。本文认为，当AI的发展方向由少数资本巨头的“千亿赌局”决定时，技术路径、算力资源和知识产权的公共性正在被系统性地私权化。真正的问题不是“AI需要多少钱”，而是“谁有权决定这些钱投向哪里”。</w:t>
      </w:r>
    </w:p>
    <w:p w14:paraId="2EC9D0B5">
      <w:pPr>
        <w:rPr>
          <w:rFonts w:hint="eastAsia"/>
        </w:rPr>
      </w:pPr>
      <w:r>
        <w:rPr>
          <w:rFonts w:hint="default" w:ascii="宋体" w:hAnsi="宋体" w:eastAsia="宋体" w:cs="宋体"/>
          <w:kern w:val="2"/>
          <w:sz w:val="24"/>
          <w:szCs w:val="24"/>
          <w:lang w:val="en-US" w:eastAsia="zh-CN" w:bidi="ar-SA"/>
        </w:rPr>
        <w:t>关键词：AI资本；政治经济学；DeepSeek；国家产业基金；OpenAI商业化；数字殖民</w:t>
      </w:r>
    </w:p>
    <w:p w14:paraId="4C8642CA">
      <w:pPr>
        <w:rPr>
          <w:rFonts w:hint="eastAsia"/>
        </w:rPr>
      </w:pPr>
      <w:r>
        <w:rPr>
          <w:rFonts w:hint="eastAsia" w:ascii="黑体" w:hAnsi="宋体" w:eastAsia="黑体" w:cs="黑体"/>
          <w:b/>
          <w:bCs/>
          <w:kern w:val="2"/>
          <w:sz w:val="32"/>
          <w:szCs w:val="24"/>
          <w:lang w:val="en-US" w:eastAsia="zh-CN" w:bidi="ar-SA"/>
        </w:rPr>
        <w:t xml:space="preserve"> 1 引言：一个行业的“千亿时刻”</w:t>
      </w:r>
    </w:p>
    <w:p w14:paraId="33EA14E7">
      <w:pPr>
        <w:rPr>
          <w:rFonts w:hint="eastAsia"/>
        </w:rPr>
      </w:pPr>
      <w:r>
        <w:rPr>
          <w:rFonts w:hint="default" w:ascii="宋体" w:hAnsi="宋体" w:eastAsia="宋体" w:cs="宋体"/>
          <w:kern w:val="2"/>
          <w:sz w:val="24"/>
          <w:szCs w:val="24"/>
          <w:lang w:val="en-US" w:eastAsia="zh-CN" w:bidi="ar-SA"/>
        </w:rPr>
        <w:t>2026年5月22日，彭博社一则报道震动了全球科技投资界：中国人工智能公司深度求索（DeepSeek）首轮融资规模高达700亿元人民币（约100亿美元），投前估值约450亿美元（约合人民币3060亿元）。这家此前依赖创始人自有对冲基金资金支撑的公司，在算力军备竞赛的压力下被迫打开资本闸门，旋即成为全球资本追逐的对象。宁德时代——一家以制造动力电池起家的公司——在两个多月内斥资超百亿元布局AI数据中心生态，先后控股数据中心龙头世纪互联、入股电力电子企业中恒电气，并拟参与DeepSeek融资。国家集成电路产业投资基金三期出资组建的国家人工智能产业投资基金，也首次被传出将进军大语言模型赛道。</w:t>
      </w:r>
    </w:p>
    <w:p w14:paraId="50AD00AD">
      <w:pPr>
        <w:rPr>
          <w:rFonts w:hint="eastAsia"/>
        </w:rPr>
      </w:pPr>
      <w:r>
        <w:rPr>
          <w:rFonts w:hint="default" w:ascii="宋体" w:hAnsi="宋体" w:eastAsia="宋体" w:cs="宋体"/>
          <w:kern w:val="2"/>
          <w:sz w:val="24"/>
          <w:szCs w:val="24"/>
          <w:lang w:val="en-US" w:eastAsia="zh-CN" w:bidi="ar-SA"/>
        </w:rPr>
        <w:t>在同一周内，国内三大头部AI公司——DeepSeek、智谱AI、百川智能——合计融资近千亿元人民币。一位投资人如此描述当前的市场生态：“不是企业求着资本，而是资本追着创始人。”</w:t>
      </w:r>
    </w:p>
    <w:p w14:paraId="102E5BF2">
      <w:pPr>
        <w:rPr>
          <w:rFonts w:hint="eastAsia"/>
        </w:rPr>
      </w:pPr>
    </w:p>
    <w:p w14:paraId="204E4DE7">
      <w:pPr>
        <w:rPr>
          <w:rFonts w:hint="eastAsia"/>
        </w:rPr>
      </w:pPr>
      <w:r>
        <w:rPr>
          <w:rFonts w:hint="default" w:ascii="宋体" w:hAnsi="宋体" w:eastAsia="宋体" w:cs="宋体"/>
          <w:kern w:val="2"/>
          <w:sz w:val="24"/>
          <w:szCs w:val="24"/>
          <w:lang w:val="en-US" w:eastAsia="zh-CN" w:bidi="ar-SA"/>
        </w:rPr>
        <w:t>这不是孤立的事件。将目光投向太平洋彼岸：谷歌、亚马逊、微软和Meta四大科技巨头2026年AI资本开支计划达到7250亿美元，较上一年暴涨77%。OpenAI——这家2015年以“造福全人类”的非营利使命成立的组织——在资本需求的驱动下步步转向完全商业化，其联合创始人马斯克提起的“AI世纪诉讼”刚刚在加州奥克兰联邦法院审结。法庭上呈现的核心矛盾——非营利理想与资本逻辑的不可调和——恰好构成了整个行业的一个缩影。</w:t>
      </w:r>
    </w:p>
    <w:p w14:paraId="3CA1985F">
      <w:pPr>
        <w:rPr>
          <w:rFonts w:hint="eastAsia"/>
        </w:rPr>
      </w:pPr>
      <w:r>
        <w:rPr>
          <w:rFonts w:hint="default" w:ascii="宋体" w:hAnsi="宋体" w:eastAsia="宋体" w:cs="宋体"/>
          <w:kern w:val="2"/>
          <w:sz w:val="24"/>
          <w:szCs w:val="24"/>
          <w:lang w:val="en-US" w:eastAsia="zh-CN" w:bidi="ar-SA"/>
        </w:rPr>
        <w:t>如何理解这场资本狂潮？主流叙事通常将AI融资热潮解释为“市场对技术前景的理性定价”——高估值反映高潜力，巨额融资支撑前沿研发，资本繁荣是技术进步的副产品。然而，从政治经济学的视角审视，这幅图景便呈现出截然不同的面貌：资本不是被动地为AI定价，而是主动地为AI定方向；融资不是中性的资金配置，而是权力结构的再生产；估值不是对未来的预测，而是对竞争的排斥。</w:t>
      </w:r>
    </w:p>
    <w:p w14:paraId="5C10F8B5">
      <w:pPr>
        <w:rPr>
          <w:rFonts w:hint="eastAsia"/>
        </w:rPr>
      </w:pPr>
      <w:r>
        <w:rPr>
          <w:rFonts w:hint="default" w:ascii="宋体" w:hAnsi="宋体" w:eastAsia="宋体" w:cs="宋体"/>
          <w:kern w:val="2"/>
          <w:sz w:val="24"/>
          <w:szCs w:val="24"/>
          <w:lang w:val="en-US" w:eastAsia="zh-CN" w:bidi="ar-SA"/>
        </w:rPr>
        <w:t>本文试图回答三个层层递进的问题：第一，AI资本狂潮的权力结构是怎样的——谁在投、为什么投、投向哪里？第二，这种权力结构如何重塑AI的发展方向与公共性边界？第三，当非营利理想在资本需求面前节节退让时，“AI向善”的叙事还能否自洽？</w:t>
      </w:r>
    </w:p>
    <w:p w14:paraId="265B1037">
      <w:pPr>
        <w:rPr>
          <w:rFonts w:hint="eastAsia"/>
        </w:rPr>
      </w:pPr>
      <w:r>
        <w:rPr>
          <w:rFonts w:hint="eastAsia" w:ascii="黑体" w:hAnsi="宋体" w:eastAsia="黑体" w:cs="黑体"/>
          <w:b/>
          <w:bCs/>
          <w:kern w:val="2"/>
          <w:sz w:val="32"/>
          <w:szCs w:val="24"/>
          <w:lang w:val="en-US" w:eastAsia="zh-CN" w:bidi="ar-SA"/>
        </w:rPr>
        <w:t xml:space="preserve"> 2 “钱从哪来”：三重权力轴心的生成</w:t>
      </w:r>
    </w:p>
    <w:p w14:paraId="1B79FF53">
      <w:pPr>
        <w:rPr>
          <w:rFonts w:hint="eastAsia"/>
        </w:rPr>
      </w:pPr>
      <w:r>
        <w:rPr>
          <w:rFonts w:hint="eastAsia" w:ascii="黑体" w:hAnsi="宋体" w:eastAsia="黑体" w:cs="黑体"/>
          <w:b/>
          <w:bCs/>
          <w:kern w:val="2"/>
          <w:sz w:val="28"/>
          <w:szCs w:val="24"/>
          <w:lang w:val="en-US" w:eastAsia="zh-CN" w:bidi="ar-SA"/>
        </w:rPr>
        <w:t xml:space="preserve"> 2.1 第一重轴心：产业资本的跨界扩张——以宁德时代为例</w:t>
      </w:r>
    </w:p>
    <w:p w14:paraId="0CE53C55">
      <w:pPr>
        <w:rPr>
          <w:rFonts w:hint="eastAsia"/>
        </w:rPr>
      </w:pPr>
      <w:r>
        <w:rPr>
          <w:rFonts w:hint="default" w:ascii="宋体" w:hAnsi="宋体" w:eastAsia="宋体" w:cs="宋体"/>
          <w:kern w:val="2"/>
          <w:sz w:val="24"/>
          <w:szCs w:val="24"/>
          <w:lang w:val="en-US" w:eastAsia="zh-CN" w:bidi="ar-SA"/>
        </w:rPr>
        <w:t>DeepSeek融资消息中最引人注目的细节，不是融资规模，而是投资方的身份构成。在拟参投的名单中，宁德时代的出现意味深远。</w:t>
      </w:r>
    </w:p>
    <w:p w14:paraId="61C92D0F">
      <w:pPr>
        <w:rPr>
          <w:rFonts w:hint="eastAsia"/>
        </w:rPr>
      </w:pPr>
      <w:r>
        <w:rPr>
          <w:rFonts w:hint="default" w:ascii="宋体" w:hAnsi="宋体" w:eastAsia="宋体" w:cs="宋体"/>
          <w:kern w:val="2"/>
          <w:sz w:val="24"/>
          <w:szCs w:val="24"/>
          <w:lang w:val="en-US" w:eastAsia="zh-CN" w:bidi="ar-SA"/>
        </w:rPr>
        <w:t>一家以制造动力电池起家的公司，为什么要投资一家大语言模型公司？孤立地看，这似乎是资本过剩时代的跨界投机。但将宁德时代近期的资本运作串联起来，一条清晰的战略逻辑便浮现出来：动力电池业务提供稳定的现金流→AI数据中心是新一代电力消耗巨头→数据中心需要大规模储能和供电解决方案→数据中心同时是AI算力的物理载体→算力是AI模型训练的核心生产资料→大模型是AI生态的顶层应用。</w:t>
      </w:r>
    </w:p>
    <w:p w14:paraId="225C21C5">
      <w:pPr>
        <w:rPr>
          <w:rFonts w:hint="eastAsia"/>
        </w:rPr>
      </w:pPr>
      <w:r>
        <w:rPr>
          <w:rFonts w:hint="default" w:ascii="宋体" w:hAnsi="宋体" w:eastAsia="宋体" w:cs="宋体"/>
          <w:kern w:val="2"/>
          <w:sz w:val="24"/>
          <w:szCs w:val="24"/>
          <w:lang w:val="en-US" w:eastAsia="zh-CN" w:bidi="ar-SA"/>
        </w:rPr>
        <w:t>2026年4月至5月，宁德时代以约64亿元人民币收购国内头部IDC企业世纪互联最多38.1%股份，成为第一大股东；同期入股中恒电气，布局电力电子环节；4月28日在港股市场配售募资约50亿美元（约391.9亿港元），所募资金用于全球产能扩张和研发投入。两笔交易合计已超百亿元，覆盖了从电力电子到数据中心运营的核心环节。对DeepSeek的拟参投，则是这一链条向顶层应用的自然延伸。</w:t>
      </w:r>
    </w:p>
    <w:p w14:paraId="1B07ED9F">
      <w:pPr>
        <w:rPr>
          <w:rFonts w:hint="eastAsia"/>
        </w:rPr>
      </w:pPr>
      <w:r>
        <w:rPr>
          <w:rFonts w:hint="default" w:ascii="宋体" w:hAnsi="宋体" w:eastAsia="宋体" w:cs="宋体"/>
          <w:kern w:val="2"/>
          <w:sz w:val="24"/>
          <w:szCs w:val="24"/>
          <w:lang w:val="en-US" w:eastAsia="zh-CN" w:bidi="ar-SA"/>
        </w:rPr>
        <w:t>这种扩张模式的政治经济学意涵在于：它正在重新定义“产业资本”的边界。传统产业资本的扩张通常沿着产业链的上下游——向上游控制原材料，向下游控制渠道。但宁德时代的跨界走的不是产业链逻辑，而是“算力—能源”的耦合逻辑：AI是新的电力消耗终端，谁控制了AI的能源供给，谁就在AI的基础设施层拥有了结构性话语权。这不是产业延伸，而是权力重构——一家制造型企业在通过资本运作进入一个传统上属于信息科技公司的领域，并在该领域的基础设施层面建立不可绕过的控制节点。</w:t>
      </w:r>
    </w:p>
    <w:p w14:paraId="3FF07A0D">
      <w:pPr>
        <w:rPr>
          <w:rFonts w:hint="eastAsia"/>
        </w:rPr>
      </w:pPr>
      <w:r>
        <w:rPr>
          <w:rFonts w:hint="eastAsia" w:ascii="黑体" w:hAnsi="宋体" w:eastAsia="黑体" w:cs="黑体"/>
          <w:b/>
          <w:bCs/>
          <w:kern w:val="2"/>
          <w:sz w:val="28"/>
          <w:szCs w:val="24"/>
          <w:lang w:val="en-US" w:eastAsia="zh-CN" w:bidi="ar-SA"/>
        </w:rPr>
        <w:t xml:space="preserve"> 2.2 第二重轴心：国家资本的深度嵌入——大基金的“双轮驱动”</w:t>
      </w:r>
    </w:p>
    <w:p w14:paraId="6FA8B478">
      <w:pPr>
        <w:rPr>
          <w:rFonts w:hint="eastAsia"/>
        </w:rPr>
      </w:pPr>
      <w:r>
        <w:rPr>
          <w:rFonts w:hint="default" w:ascii="宋体" w:hAnsi="宋体" w:eastAsia="宋体" w:cs="宋体"/>
          <w:kern w:val="2"/>
          <w:sz w:val="24"/>
          <w:szCs w:val="24"/>
          <w:lang w:val="en-US" w:eastAsia="zh-CN" w:bidi="ar-SA"/>
        </w:rPr>
        <w:t>如果说宁德时代代表了产业资本的自发扩张，那么国家人工智能产业投资基金的入局则代表了国家战略资本的系统性介入。</w:t>
      </w:r>
    </w:p>
    <w:p w14:paraId="5BD72D4E">
      <w:pPr>
        <w:rPr>
          <w:rFonts w:hint="eastAsia"/>
        </w:rPr>
      </w:pPr>
      <w:r>
        <w:rPr>
          <w:rFonts w:hint="default" w:ascii="宋体" w:hAnsi="宋体" w:eastAsia="宋体" w:cs="宋体"/>
          <w:kern w:val="2"/>
          <w:sz w:val="24"/>
          <w:szCs w:val="24"/>
          <w:lang w:val="en-US" w:eastAsia="zh-CN" w:bidi="ar-SA"/>
        </w:rPr>
        <w:t>国家人工智能产业投资基金由大基金三期出资组建，是国家层面专注人工智能产业的战略性基金。大基金三期于2024年设立，募集规模470亿美元，此前重点投资半导体设备与材料领域。2026年5月初，大基金三期出资投资了云脉芯联——一家专注智能算力和云数据中心网络互联芯片的企业。如今传其正洽谈领投DeepSeek首轮融资——这是国家战略基金首次公开支持中国大语言模型公司。</w:t>
      </w:r>
    </w:p>
    <w:p w14:paraId="39D92777">
      <w:pPr>
        <w:rPr>
          <w:rFonts w:hint="eastAsia"/>
        </w:rPr>
      </w:pPr>
      <w:r>
        <w:rPr>
          <w:rFonts w:hint="default" w:ascii="宋体" w:hAnsi="宋体" w:eastAsia="宋体" w:cs="宋体"/>
          <w:kern w:val="2"/>
          <w:sz w:val="24"/>
          <w:szCs w:val="24"/>
          <w:lang w:val="en-US" w:eastAsia="zh-CN" w:bidi="ar-SA"/>
        </w:rPr>
        <w:t>大基金的投资策略呈现一个清晰的“双轮驱动”逻辑：人工智能基金锚定AI场景需求，集成电路基金聚焦芯片硬科技。两者协同投资，形成“应用牵引+技术攻坚”的闭环。从芯片（云脉芯联）到算力基础设施（世纪互联）到大模型（DeepSeek），一张覆盖AI全产业链的国家资本网络正在成型。</w:t>
      </w:r>
    </w:p>
    <w:p w14:paraId="6C238046">
      <w:pPr>
        <w:rPr>
          <w:rFonts w:hint="eastAsia"/>
        </w:rPr>
      </w:pPr>
      <w:r>
        <w:rPr>
          <w:rFonts w:hint="default" w:ascii="宋体" w:hAnsi="宋体" w:eastAsia="宋体" w:cs="宋体"/>
          <w:kern w:val="2"/>
          <w:sz w:val="24"/>
          <w:szCs w:val="24"/>
          <w:lang w:val="en-US" w:eastAsia="zh-CN" w:bidi="ar-SA"/>
        </w:rPr>
        <w:t>这种嵌入式介入的政治经济学意义需要被仔细辨析。一方面，国家资本的介入有助于对冲私营资本的短期逐利倾向，为技术自主和基础研究提供“耐心资本”。DeepSeek创始人梁文锋在融资谈判中做出的“开源优先、AGI优先”承诺，在纯市场融资环境中可能被视为对投资者的不负责任，但在国家资本参与的情形下，这种长期导向反而获得了制度支撑。另一方面，国家资本与私营资本的边界正在模糊化——当大基金与腾讯、IDG、宁德时代出现在同一张投资方名单上，当国家战略基金与风险资本以同样的股权工具参与同一家公司的融资，传统的“国家队”与“市场队”二分法便失去了分析效力。</w:t>
      </w:r>
    </w:p>
    <w:p w14:paraId="41210394">
      <w:pPr>
        <w:rPr>
          <w:rFonts w:hint="eastAsia"/>
        </w:rPr>
      </w:pPr>
      <w:r>
        <w:rPr>
          <w:rFonts w:hint="default" w:ascii="宋体" w:hAnsi="宋体" w:eastAsia="宋体" w:cs="宋体"/>
          <w:kern w:val="2"/>
          <w:sz w:val="24"/>
          <w:szCs w:val="24"/>
          <w:lang w:val="en-US" w:eastAsia="zh-CN" w:bidi="ar-SA"/>
        </w:rPr>
        <w:t>更关键的问题在于：国家资本的介入由谁决定投向哪里？大基金三期的出资人和资金分配由哪些机构决策？当数百亿国家战略资金投入商业化AI公司时，公共利益对应的回报机制是什么——是财务回报、是技术溢出、还是对AI发展方向的某种实质性影响力？这些问题在当前的公开信息中缺乏明确的制度性答案。</w:t>
      </w:r>
    </w:p>
    <w:p w14:paraId="19CF43A1">
      <w:pPr>
        <w:rPr>
          <w:rFonts w:hint="eastAsia"/>
        </w:rPr>
      </w:pPr>
      <w:r>
        <w:rPr>
          <w:rFonts w:hint="eastAsia" w:ascii="黑体" w:hAnsi="宋体" w:eastAsia="黑体" w:cs="黑体"/>
          <w:b/>
          <w:bCs/>
          <w:kern w:val="2"/>
          <w:sz w:val="28"/>
          <w:szCs w:val="24"/>
          <w:lang w:val="en-US" w:eastAsia="zh-CN" w:bidi="ar-SA"/>
        </w:rPr>
        <w:t xml:space="preserve"> 2.3 第三重轴心：资本集中与创新垄断</w:t>
      </w:r>
    </w:p>
    <w:p w14:paraId="605982CD">
      <w:pPr>
        <w:rPr>
          <w:rFonts w:hint="eastAsia"/>
        </w:rPr>
      </w:pPr>
    </w:p>
    <w:p w14:paraId="0FC7F5F8">
      <w:pPr>
        <w:rPr>
          <w:rFonts w:hint="eastAsia"/>
        </w:rPr>
      </w:pPr>
      <w:r>
        <w:rPr>
          <w:rFonts w:hint="default" w:ascii="宋体" w:hAnsi="宋体" w:eastAsia="宋体" w:cs="宋体"/>
          <w:kern w:val="2"/>
          <w:sz w:val="24"/>
          <w:szCs w:val="24"/>
          <w:lang w:val="en-US" w:eastAsia="zh-CN" w:bidi="ar-SA"/>
        </w:rPr>
        <w:t>2026年前两个月，全球AI领域融资2200亿美元，但OpenAI、Anthropic、Waymo三家公司就拿走了1560亿美元——占比高达83%。与此同时，种子轮融资额同比下滑11%。这意味着AI行业的资本结构正在经历剧烈的两极分化：头部企业可以募集数百亿美元而不需产生利润，早期初创企业的生存空间则被急剧压缩。</w:t>
      </w:r>
    </w:p>
    <w:p w14:paraId="5BCB7EE6">
      <w:pPr>
        <w:rPr>
          <w:rFonts w:hint="eastAsia"/>
        </w:rPr>
      </w:pPr>
      <w:r>
        <w:rPr>
          <w:rFonts w:hint="default" w:ascii="宋体" w:hAnsi="宋体" w:eastAsia="宋体" w:cs="宋体"/>
          <w:kern w:val="2"/>
          <w:sz w:val="24"/>
          <w:szCs w:val="24"/>
          <w:lang w:val="en-US" w:eastAsia="zh-CN" w:bidi="ar-SA"/>
        </w:rPr>
        <w:t>这种结构的技术后果是深刻的。当少数企业获得巨额资本后，它们会将其大量投入固定基础设施——数据中心、芯片集群、专有算力网络。这些设施一旦建成，将形成不可逆的沉没成本。沉没成本越高，企业转向替代技术路线的门槛就越高。于是，资本集中化不仅造成了资源分配的不平等，更导致了技术路径的锁定效应——整个行业的方向被少数拥有巨额沉没成本的企业所锚定，因为它们在经济上别无选择，只能在既有路线上继续“烧钱”。</w:t>
      </w:r>
    </w:p>
    <w:p w14:paraId="4D74CE5E">
      <w:pPr>
        <w:rPr>
          <w:rFonts w:hint="eastAsia"/>
        </w:rPr>
      </w:pPr>
      <w:r>
        <w:rPr>
          <w:rFonts w:hint="default" w:ascii="宋体" w:hAnsi="宋体" w:eastAsia="宋体" w:cs="宋体"/>
          <w:kern w:val="2"/>
          <w:sz w:val="24"/>
          <w:szCs w:val="24"/>
          <w:lang w:val="en-US" w:eastAsia="zh-CN" w:bidi="ar-SA"/>
        </w:rPr>
        <w:t>这就是AI领域特有的“创新垄断”：不是通过专利壁垒遏制竞争者（那是传统垄断），而是通过天文数字的算力投入使竞争者望而却步。当训练一个前沿大模型的成本已达数十亿美元量级，任何后来者想要进入都需要面对一个无从逾越的资本门槛。这是比技术壁垒更根本的壁垒——它不依赖技术的优越性，而依赖资本的不可复制性。</w:t>
      </w:r>
    </w:p>
    <w:p w14:paraId="581CA93D">
      <w:pPr>
        <w:rPr>
          <w:rFonts w:hint="eastAsia"/>
        </w:rPr>
      </w:pPr>
      <w:r>
        <w:rPr>
          <w:rFonts w:hint="default" w:ascii="宋体" w:hAnsi="宋体" w:eastAsia="宋体" w:cs="宋体"/>
          <w:kern w:val="2"/>
          <w:sz w:val="24"/>
          <w:szCs w:val="24"/>
          <w:lang w:val="en-US" w:eastAsia="zh-CN" w:bidi="ar-SA"/>
        </w:rPr>
        <w:t>马太效应在这里的运作机制值得特别关注。学术界通常以“富者愈富”来描述马太效应，但在AI领域，马太效应不仅是财富的集中，更是定义权的集中。资本巨头所掌握的训练数据决定了模型“知道”什么、所雇佣的研发团队决定了技术路线走向、所服务的核心客户决定了应用场景的优先级。当AI成为社会基础设施时，这些选择就不再仅仅是商业决策，而是对社会认知秩序和价值导向的塑造。</w:t>
      </w:r>
    </w:p>
    <w:p w14:paraId="4E193BD6">
      <w:pPr>
        <w:rPr>
          <w:rFonts w:hint="eastAsia"/>
        </w:rPr>
      </w:pPr>
      <w:r>
        <w:rPr>
          <w:rFonts w:hint="eastAsia" w:ascii="黑体" w:hAnsi="宋体" w:eastAsia="黑体" w:cs="黑体"/>
          <w:b/>
          <w:bCs/>
          <w:kern w:val="2"/>
          <w:sz w:val="32"/>
          <w:szCs w:val="24"/>
          <w:lang w:val="en-US" w:eastAsia="zh-CN" w:bidi="ar-SA"/>
        </w:rPr>
        <w:t xml:space="preserve"> 3 “钱往哪烧”：AGI赌局的内在悖论</w:t>
      </w:r>
    </w:p>
    <w:p w14:paraId="1DCC3886">
      <w:pPr>
        <w:rPr>
          <w:rFonts w:hint="eastAsia"/>
        </w:rPr>
      </w:pPr>
      <w:r>
        <w:rPr>
          <w:rFonts w:hint="eastAsia" w:ascii="黑体" w:hAnsi="宋体" w:eastAsia="黑体" w:cs="黑体"/>
          <w:b/>
          <w:bCs/>
          <w:kern w:val="2"/>
          <w:sz w:val="28"/>
          <w:szCs w:val="24"/>
          <w:lang w:val="en-US" w:eastAsia="zh-CN" w:bidi="ar-SA"/>
        </w:rPr>
        <w:t xml:space="preserve"> 3.1 “烧钱叙事”：理性还是疯狂？</w:t>
      </w:r>
    </w:p>
    <w:p w14:paraId="4E8397D2">
      <w:pPr>
        <w:rPr>
          <w:rFonts w:hint="eastAsia"/>
        </w:rPr>
      </w:pPr>
      <w:r>
        <w:rPr>
          <w:rFonts w:hint="default" w:ascii="宋体" w:hAnsi="宋体" w:eastAsia="宋体" w:cs="宋体"/>
          <w:kern w:val="2"/>
          <w:sz w:val="24"/>
          <w:szCs w:val="24"/>
          <w:lang w:val="en-US" w:eastAsia="zh-CN" w:bidi="ar-SA"/>
        </w:rPr>
        <w:t>全球四大科技巨头——谷歌、亚马逊、微软和Meta——2026年AI资本开支计划合计高达7250亿美元，较2025年的4100亿美元增长77%。仅2026年第一季度，四家企业AI相关资本开支就达到1300亿美元。具体拆分：谷歌母公司Alphabet全年资本支出指引1800亿至1900亿美元；Meta全年资本支出1250亿至1450亿美元，超八成用于AI基础设施；微软2026年资本支出预期约1900亿美元，同比暴增超六成。</w:t>
      </w:r>
    </w:p>
    <w:p w14:paraId="117453EC">
      <w:pPr>
        <w:rPr>
          <w:rFonts w:hint="eastAsia"/>
        </w:rPr>
      </w:pPr>
      <w:r>
        <w:rPr>
          <w:rFonts w:hint="eastAsia"/>
        </w:rPr>
        <w:t>高达数千亿美元的投入至今看不到明确的利润回报时间表。主流财经叙事将这种“烧钱”解释为“对未来的投资”——高投入是AI赛道高潜力的证明。但从政治经济学的角度看，这个叙事忽略了资本投资行为的结构性成因。</w:t>
      </w:r>
    </w:p>
    <w:p w14:paraId="6AEACCEF">
      <w:pPr>
        <w:rPr>
          <w:rFonts w:hint="eastAsia"/>
        </w:rPr>
      </w:pPr>
      <w:r>
        <w:rPr>
          <w:rFonts w:hint="default" w:ascii="宋体" w:hAnsi="宋体" w:eastAsia="宋体" w:cs="宋体"/>
          <w:kern w:val="2"/>
          <w:sz w:val="24"/>
          <w:szCs w:val="24"/>
          <w:lang w:val="en-US" w:eastAsia="zh-CN" w:bidi="ar-SA"/>
        </w:rPr>
        <w:t>“烧钱”不是非理性的，而是理性的。在AI基础设施领域，先动优势极为显著——最先建成大规模算力集群的企业，可以用边际成本递减的算力优势压制后来者；率先积累海量用户交互数据的企业，可以用训练数据的规模优势提升模型性能；在标准尚未形成时率先定义技术栈的企业，可以用生态锁定效应将用户和开发者绑定在自己的平台上。在这种结构下，“烧钱”不是疯狂，而是一种理性的垄断策略——它是为了在竞争对手尚未进入之前，用不可逾越的资本壁垒将市场划定为自己的领地。</w:t>
      </w:r>
    </w:p>
    <w:p w14:paraId="37D525D0">
      <w:pPr>
        <w:rPr>
          <w:rFonts w:hint="eastAsia"/>
        </w:rPr>
      </w:pPr>
      <w:r>
        <w:rPr>
          <w:rFonts w:hint="eastAsia" w:ascii="黑体" w:hAnsi="宋体" w:eastAsia="黑体" w:cs="黑体"/>
          <w:b/>
          <w:bCs/>
          <w:kern w:val="2"/>
          <w:sz w:val="28"/>
          <w:szCs w:val="24"/>
          <w:lang w:val="en-US" w:eastAsia="zh-CN" w:bidi="ar-SA"/>
        </w:rPr>
        <w:t xml:space="preserve"> 3.2 非营利理想的制度性溃败</w:t>
      </w:r>
    </w:p>
    <w:p w14:paraId="67D90450">
      <w:pPr>
        <w:rPr>
          <w:rFonts w:hint="eastAsia"/>
        </w:rPr>
      </w:pPr>
      <w:r>
        <w:rPr>
          <w:rFonts w:hint="default" w:ascii="宋体" w:hAnsi="宋体" w:eastAsia="宋体" w:cs="宋体"/>
          <w:kern w:val="2"/>
          <w:sz w:val="24"/>
          <w:szCs w:val="24"/>
          <w:lang w:val="en-US" w:eastAsia="zh-CN" w:bidi="ar-SA"/>
        </w:rPr>
        <w:t>2015年，OpenAI以非营利组织的身份成立，初始定位是不以商业逐利为导向的公益组织，使命表述为“确保通用人工智能造福全人类”。2019年，OpenAI转型为“利润上限”模式，引入微软等外部投资以应对日益增长的算力成本。此后五年间，其组织形态持续向完全商业化方向演进。</w:t>
      </w:r>
    </w:p>
    <w:p w14:paraId="4AE9C932">
      <w:pPr>
        <w:rPr>
          <w:rFonts w:hint="eastAsia"/>
        </w:rPr>
      </w:pPr>
      <w:r>
        <w:rPr>
          <w:rFonts w:hint="default" w:ascii="宋体" w:hAnsi="宋体" w:eastAsia="宋体" w:cs="宋体"/>
          <w:kern w:val="2"/>
          <w:sz w:val="24"/>
          <w:szCs w:val="24"/>
          <w:lang w:val="en-US" w:eastAsia="zh-CN" w:bidi="ar-SA"/>
        </w:rPr>
        <w:t>2024年，OpenAI联合创始人马斯克正式提起诉讼，指控公司及CEO奥尔特曼背弃初创时的非营利承诺，借助公益机构外壳转向商业化牟利，违背慈善信托责任。诉讼请求包括恢复OpenAI的非营利性质、罢免奥尔特曼、赔偿非营利基金会1500亿美元。2026年4月27日，这场“AI世纪诉讼”在加州奥克兰联邦法院开庭；5月18日，陪审团审议90分钟后一致认为马斯克的主张超过诉讼时效，法官驳回。</w:t>
      </w:r>
    </w:p>
    <w:p w14:paraId="2D8EFDF2">
      <w:pPr>
        <w:rPr>
          <w:rFonts w:hint="eastAsia"/>
        </w:rPr>
      </w:pPr>
      <w:r>
        <w:rPr>
          <w:rFonts w:hint="default" w:ascii="宋体" w:hAnsi="宋体" w:eastAsia="宋体" w:cs="宋体"/>
          <w:kern w:val="2"/>
          <w:sz w:val="24"/>
          <w:szCs w:val="24"/>
          <w:lang w:val="en-US" w:eastAsia="zh-CN" w:bidi="ar-SA"/>
        </w:rPr>
        <w:t>从法理上，这个案子已经结束了。但从政治经济学上，它提出的问题刚刚开始：OpenAI的非营利承诺从一开始就是不可持续的。通用人工智能研究需要的算力成本以指数级增长，非营利组织的捐赠收入根本不可能支撑这种量级的投入。当训练一个前沿模型动辄需要数十亿美元时，非营利模式不再是可行的选择，而是制度性的不可能。OpenAI的“背弃”与其说是企业道德操守的失败，不如说是AI资本逻辑对任何非营利组织形式的必然碾压。</w:t>
      </w:r>
    </w:p>
    <w:p w14:paraId="6EC283C2">
      <w:pPr>
        <w:rPr>
          <w:rFonts w:hint="eastAsia"/>
        </w:rPr>
      </w:pPr>
      <w:r>
        <w:rPr>
          <w:rFonts w:hint="default" w:ascii="宋体" w:hAnsi="宋体" w:eastAsia="宋体" w:cs="宋体"/>
          <w:kern w:val="2"/>
          <w:sz w:val="24"/>
          <w:szCs w:val="24"/>
          <w:lang w:val="en-US" w:eastAsia="zh-CN" w:bidi="ar-SA"/>
        </w:rPr>
        <w:t>法院的驳回判决看似为OpenAI扫清了法律障碍，但诉讼本身已经在公共舆论中彻底袪魅了硅谷的“非营利AI”叙事。案件审理中披露的内部邮件和决策文件显示，OpenAI的高管们在转型过程中对组织使命与资本需求之间的矛盾有清醒的认知——他们并非“不知不觉地堕落”，而是在算力军备竞赛的逻辑下做出了理性的、但与其初始使命相悖的选择。这恰恰是整个行业的缩影：不是个体道德的缺失，而是制度结构的必然。</w:t>
      </w:r>
    </w:p>
    <w:p w14:paraId="24949966">
      <w:pPr>
        <w:rPr>
          <w:rFonts w:hint="eastAsia"/>
        </w:rPr>
      </w:pPr>
      <w:r>
        <w:rPr>
          <w:rFonts w:hint="eastAsia" w:ascii="黑体" w:hAnsi="宋体" w:eastAsia="黑体" w:cs="黑体"/>
          <w:b/>
          <w:bCs/>
          <w:kern w:val="2"/>
          <w:sz w:val="28"/>
          <w:szCs w:val="24"/>
          <w:lang w:val="en-US" w:eastAsia="zh-CN" w:bidi="ar-SA"/>
        </w:rPr>
        <w:t xml:space="preserve"> 3.3 数据中心的物理脆弱性与风险社会化</w:t>
      </w:r>
    </w:p>
    <w:p w14:paraId="0E5062B7">
      <w:pPr>
        <w:rPr>
          <w:rFonts w:hint="eastAsia"/>
        </w:rPr>
      </w:pPr>
    </w:p>
    <w:p w14:paraId="0689BD87">
      <w:pPr>
        <w:rPr>
          <w:rFonts w:hint="eastAsia"/>
        </w:rPr>
      </w:pPr>
      <w:r>
        <w:rPr>
          <w:rFonts w:hint="default" w:ascii="宋体" w:hAnsi="宋体" w:eastAsia="宋体" w:cs="宋体"/>
          <w:kern w:val="2"/>
          <w:sz w:val="24"/>
          <w:szCs w:val="24"/>
          <w:lang w:val="en-US" w:eastAsia="zh-CN" w:bidi="ar-SA"/>
        </w:rPr>
        <w:t>2026年3月初，伊朗通过无人机袭击了美国科技企业在阿联酋和巴林部署的数据中心设施，多处云服务节点受损并引发区域性服务中断。这一事件暴露了一个令人不安的事实：被描述为“无形资产”的AI算力，在物理上高度集中且高度脆弱。当科技巨头将数千亿美元投入这些物理设施时，它们同时创造了一个对国家基础设施和全球能源资源具有巨大吸附力的新利益集团。</w:t>
      </w:r>
    </w:p>
    <w:p w14:paraId="48775669">
      <w:pPr>
        <w:rPr>
          <w:rFonts w:hint="eastAsia"/>
        </w:rPr>
      </w:pPr>
      <w:r>
        <w:rPr>
          <w:rFonts w:hint="default" w:ascii="宋体" w:hAnsi="宋体" w:eastAsia="宋体" w:cs="宋体"/>
          <w:kern w:val="2"/>
          <w:sz w:val="24"/>
          <w:szCs w:val="24"/>
          <w:lang w:val="en-US" w:eastAsia="zh-CN" w:bidi="ar-SA"/>
        </w:rPr>
        <w:t>更值得警惕的是风险社会化机制。当数据中心因攻击或事故受损时，遭受损失的是该地区的所有数字服务用户，而不仅是设施的所有者。当AI企业投入巨额资本后在竞争中失败，失败的成本可能通过各种渠道——裁员、服务缩减、供应链震荡——传导至普通公众。当AI的“烧钱竞赛”消耗大量公共资源（电力、水资源、土地）时，普通公众实质上是在以低廉的公共资源价格补贴科技巨头的算力军备竞赛。这种成本的外部化与收益的私人化，构成了AI政治经济学中最核心的分配正义问题。</w:t>
      </w:r>
    </w:p>
    <w:p w14:paraId="2EB2D863">
      <w:pPr>
        <w:rPr>
          <w:rFonts w:hint="eastAsia"/>
        </w:rPr>
      </w:pPr>
      <w:r>
        <w:rPr>
          <w:rFonts w:hint="eastAsia" w:ascii="黑体" w:hAnsi="宋体" w:eastAsia="黑体" w:cs="黑体"/>
          <w:b/>
          <w:bCs/>
          <w:kern w:val="2"/>
          <w:sz w:val="32"/>
          <w:szCs w:val="24"/>
          <w:lang w:val="en-US" w:eastAsia="zh-CN" w:bidi="ar-SA"/>
        </w:rPr>
        <w:t xml:space="preserve"> 4 “钱说了算”：权力重构的三重面向</w:t>
      </w:r>
    </w:p>
    <w:p w14:paraId="6426A34B">
      <w:pPr>
        <w:rPr>
          <w:rFonts w:hint="eastAsia"/>
        </w:rPr>
      </w:pPr>
      <w:r>
        <w:rPr>
          <w:rFonts w:hint="eastAsia" w:ascii="黑体" w:hAnsi="宋体" w:eastAsia="黑体" w:cs="黑体"/>
          <w:b/>
          <w:bCs/>
          <w:kern w:val="2"/>
          <w:sz w:val="28"/>
          <w:szCs w:val="24"/>
          <w:lang w:val="en-US" w:eastAsia="zh-CN" w:bidi="ar-SA"/>
        </w:rPr>
        <w:t xml:space="preserve"> 4.1 技术路径：资本决定“什么是好AI”</w:t>
      </w:r>
    </w:p>
    <w:p w14:paraId="33C2E64A">
      <w:pPr>
        <w:rPr>
          <w:rFonts w:hint="eastAsia"/>
        </w:rPr>
      </w:pPr>
      <w:r>
        <w:rPr>
          <w:rFonts w:hint="default" w:ascii="宋体" w:hAnsi="宋体" w:eastAsia="宋体" w:cs="宋体"/>
          <w:kern w:val="2"/>
          <w:sz w:val="24"/>
          <w:szCs w:val="24"/>
          <w:lang w:val="en-US" w:eastAsia="zh-CN" w:bidi="ar-SA"/>
        </w:rPr>
        <w:t>当前主流大语言模型的技术路径——海量数据训练、大规模算力集群、参数规模的指数增长——恰好是资本密集度最高的技术路线。这不是巧合。在AI发展的早期阶段，多种技术路径并存：符号逻辑、知识图谱、统计学习、神经网络。最终神经网络成为主流，除了技术上的优越性之外，还有一个不容回避的因素——它需要的不是理论突破，而是算力和数据的规模投入。而算力和数据恰好是可以用资本购买的。</w:t>
      </w:r>
    </w:p>
    <w:p w14:paraId="6BF5182B">
      <w:pPr>
        <w:rPr>
          <w:rFonts w:hint="eastAsia"/>
        </w:rPr>
      </w:pPr>
      <w:r>
        <w:rPr>
          <w:rFonts w:hint="default" w:ascii="宋体" w:hAnsi="宋体" w:eastAsia="宋体" w:cs="宋体"/>
          <w:kern w:val="2"/>
          <w:sz w:val="24"/>
          <w:szCs w:val="24"/>
          <w:lang w:val="en-US" w:eastAsia="zh-CN" w:bidi="ar-SA"/>
        </w:rPr>
        <w:t>资本选择了大规模神经网络，不是因为它是唯一可行的路径，而是因为它是可以用资本量化的路径。在资本逻辑下，技术评估的维度从“这条路径能否达到真正的智能”悄然转变为“这条路径能否用可预期的资本投入获得可衡量的性能提升”。当后者成为默认标准时，那些需要理论创新但不需要大规模算力的替代路径，便因缺乏资本吸引力而被边缘化。</w:t>
      </w:r>
    </w:p>
    <w:p w14:paraId="4DFE51B0">
      <w:pPr>
        <w:rPr>
          <w:rFonts w:hint="eastAsia"/>
        </w:rPr>
      </w:pPr>
      <w:r>
        <w:rPr>
          <w:rFonts w:hint="default" w:ascii="宋体" w:hAnsi="宋体" w:eastAsia="宋体" w:cs="宋体"/>
          <w:kern w:val="2"/>
          <w:sz w:val="24"/>
          <w:szCs w:val="24"/>
          <w:lang w:val="en-US" w:eastAsia="zh-CN" w:bidi="ar-SA"/>
        </w:rPr>
        <w:t>这在DeepSeek的案例中表现得尤为明显。梁文锋做出“开源优先、AGI优先”承诺的背景，恰恰是公司向外部资本开放融资的时刻。承诺本身试图在资本狂潮中保留技术路线的某种自主性，但这种自主性的保留是以对资本更高程度的依赖为代价的——700亿融资。这构成了一个深刻的悖论：要维持研究方向的独立性，首先必须引入可能侵蚀这种独立性的巨额外部资本。</w:t>
      </w:r>
    </w:p>
    <w:p w14:paraId="16413136">
      <w:pPr>
        <w:rPr>
          <w:rFonts w:hint="eastAsia"/>
        </w:rPr>
      </w:pPr>
      <w:r>
        <w:rPr>
          <w:rFonts w:hint="eastAsia" w:ascii="黑体" w:hAnsi="宋体" w:eastAsia="黑体" w:cs="黑体"/>
          <w:b/>
          <w:bCs/>
          <w:kern w:val="2"/>
          <w:sz w:val="28"/>
          <w:szCs w:val="24"/>
          <w:lang w:val="en-US" w:eastAsia="zh-CN" w:bidi="ar-SA"/>
        </w:rPr>
        <w:t xml:space="preserve"> 4.2 基础设施：算力资源的私权化</w:t>
      </w:r>
    </w:p>
    <w:p w14:paraId="2872CD90">
      <w:pPr>
        <w:rPr>
          <w:rFonts w:hint="eastAsia"/>
        </w:rPr>
      </w:pPr>
      <w:r>
        <w:rPr>
          <w:rFonts w:hint="default" w:ascii="宋体" w:hAnsi="宋体" w:eastAsia="宋体" w:cs="宋体"/>
          <w:kern w:val="2"/>
          <w:sz w:val="24"/>
          <w:szCs w:val="24"/>
          <w:lang w:val="en-US" w:eastAsia="zh-CN" w:bidi="ar-SA"/>
        </w:rPr>
        <w:t>AI算力正在成为数字时代的新基础设施。大模型训练需要万卡级别的GPU集群，模型推理需要广泛部署的边缘算力节点，数据处理需要强大的云端算力支持。当这些算力资源高度集中掌握在少数科技巨头手中时，AI生态中的其他参与者——科研机构、小型企业、独立开发者——便越来越依赖于巨头提供的算力服务。</w:t>
      </w:r>
    </w:p>
    <w:p w14:paraId="7257D31D">
      <w:pPr>
        <w:rPr>
          <w:rFonts w:hint="eastAsia"/>
        </w:rPr>
      </w:pPr>
      <w:r>
        <w:rPr>
          <w:rFonts w:hint="default" w:ascii="宋体" w:hAnsi="宋体" w:eastAsia="宋体" w:cs="宋体"/>
          <w:kern w:val="2"/>
          <w:sz w:val="24"/>
          <w:szCs w:val="24"/>
          <w:lang w:val="en-US" w:eastAsia="zh-CN" w:bidi="ar-SA"/>
        </w:rPr>
        <w:t>更值得关注的是数据中心这一物理基础设施的产权结构正在发生的深刻变化。宁德时代入股世纪互联、国家大基金投资云脉芯联、四大科技巨头自建数据中心——算力基础设施的产权和控制权正在从专业IDC运营商向产业链的上下游两端同步转移。当产业资本（宁德时代）和国家资本（大基金三期）同时进入这一领域时，数据中心不再是中性的“数字仓库”，而成为产业资本扩张和国家战略布局的物理节点。这意味着，未来任何试图使用算力的机构，都将不得不在一个已经被产业巨人和国家力量双重锚定的算力网络中寻找自己的位置。</w:t>
      </w:r>
    </w:p>
    <w:p w14:paraId="6C9BC938">
      <w:pPr>
        <w:rPr>
          <w:rFonts w:hint="eastAsia"/>
        </w:rPr>
      </w:pPr>
    </w:p>
    <w:p w14:paraId="7548FF76">
      <w:pPr>
        <w:rPr>
          <w:rFonts w:hint="eastAsia"/>
        </w:rPr>
      </w:pPr>
      <w:r>
        <w:rPr>
          <w:rFonts w:hint="eastAsia" w:ascii="黑体" w:hAnsi="宋体" w:eastAsia="黑体" w:cs="黑体"/>
          <w:b/>
          <w:bCs/>
          <w:kern w:val="2"/>
          <w:sz w:val="28"/>
          <w:szCs w:val="24"/>
          <w:lang w:val="en-US" w:eastAsia="zh-CN" w:bidi="ar-SA"/>
        </w:rPr>
        <w:t xml:space="preserve"> 4.3 全球秩序：数字殖民的新面孔</w:t>
      </w:r>
    </w:p>
    <w:p w14:paraId="552AAB50">
      <w:pPr>
        <w:rPr>
          <w:rFonts w:hint="eastAsia"/>
        </w:rPr>
      </w:pPr>
    </w:p>
    <w:p w14:paraId="036DD800">
      <w:pPr>
        <w:rPr>
          <w:rFonts w:hint="eastAsia"/>
        </w:rPr>
      </w:pPr>
      <w:r>
        <w:rPr>
          <w:rFonts w:hint="default" w:ascii="宋体" w:hAnsi="宋体" w:eastAsia="宋体" w:cs="宋体"/>
          <w:kern w:val="2"/>
          <w:sz w:val="24"/>
          <w:szCs w:val="24"/>
          <w:lang w:val="en-US" w:eastAsia="zh-CN" w:bidi="ar-SA"/>
        </w:rPr>
        <w:t>将镜头进一步拉远至全球范围，AI资本狂潮呈现出一个具有历史纵深的政治经济学图景：硅谷巨头被指在“全球南方”悄然推进数字殖民主义。非洲大陆再次成为这场资本盛宴中至关重要的组成部分——不仅作为潜在市场、数据来源和地缘政治棋子，更作为AI基础设施全球布局中绕不开的资源节点。</w:t>
      </w:r>
    </w:p>
    <w:p w14:paraId="583B4B77">
      <w:pPr>
        <w:rPr>
          <w:rFonts w:hint="eastAsia"/>
        </w:rPr>
      </w:pPr>
      <w:r>
        <w:rPr>
          <w:rFonts w:hint="default" w:ascii="宋体" w:hAnsi="宋体" w:eastAsia="宋体" w:cs="宋体"/>
          <w:kern w:val="2"/>
          <w:sz w:val="24"/>
          <w:szCs w:val="24"/>
          <w:lang w:val="en-US" w:eastAsia="zh-CN" w:bidi="ar-SA"/>
        </w:rPr>
        <w:t>同时，AI并非无需人类劳动的自主系统。其背后是一支庞大而隐形的劳动力大军，集中在全球南方。这些数据标注工人以极低薪酬为AI模型提供训练数据，构成了“算法采掘主义”的物质基础——资源从较穷的“外围”国家流向较富的“核心”国家，支撑着全球不平等的数字再生产。</w:t>
      </w:r>
    </w:p>
    <w:p w14:paraId="06D4D6C1">
      <w:pPr>
        <w:rPr>
          <w:rFonts w:hint="eastAsia"/>
        </w:rPr>
      </w:pPr>
      <w:r>
        <w:rPr>
          <w:rFonts w:hint="default" w:ascii="宋体" w:hAnsi="宋体" w:eastAsia="宋体" w:cs="宋体"/>
          <w:kern w:val="2"/>
          <w:sz w:val="24"/>
          <w:szCs w:val="24"/>
          <w:lang w:val="en-US" w:eastAsia="zh-CN" w:bidi="ar-SA"/>
        </w:rPr>
        <w:t>加纳议会信息与通信委员会主席手握15项数字立法议程，其提出的核心问题是：全球南方如何设计规则，既让外部AI先发者在本地受到有效规制，又不以行政壁垒保护落后？这一问题指向了AI全球秩序中的一个结构性困境：全球南方国家在全球AI资本流动和基础设施建设中实际上扮演着双重角色——既是数据资源的被动供应者，又在努力成为规则制定的主动参与者。</w:t>
      </w:r>
    </w:p>
    <w:p w14:paraId="3AB044D3">
      <w:pPr>
        <w:rPr>
          <w:rFonts w:hint="eastAsia"/>
        </w:rPr>
      </w:pPr>
      <w:r>
        <w:rPr>
          <w:rFonts w:hint="default" w:ascii="宋体" w:hAnsi="宋体" w:eastAsia="宋体" w:cs="宋体"/>
          <w:kern w:val="2"/>
          <w:sz w:val="24"/>
          <w:szCs w:val="24"/>
          <w:lang w:val="en-US" w:eastAsia="zh-CN" w:bidi="ar-SA"/>
        </w:rPr>
        <w:t>中国的角色更为复杂。一方面，中国AI企业的国际化布局正在为全球南方提供替代硅谷的选择；另一方面，中国在非洲等地的数据中心和算力基础设施布局加速，引发了关于“新一轮基础设施殖民”的讨论。这种双重角色——既是数字霸权的挑战者，也是新一轮基础设施扩张的主导者——构成了AI全球政治经济学中最需要审慎分析的问题之一。</w:t>
      </w:r>
    </w:p>
    <w:p w14:paraId="3DDE3761">
      <w:pPr>
        <w:rPr>
          <w:rFonts w:hint="eastAsia"/>
        </w:rPr>
      </w:pPr>
      <w:r>
        <w:rPr>
          <w:rFonts w:hint="eastAsia" w:ascii="黑体" w:hAnsi="宋体" w:eastAsia="黑体" w:cs="黑体"/>
          <w:b/>
          <w:bCs/>
          <w:kern w:val="2"/>
          <w:sz w:val="32"/>
          <w:szCs w:val="24"/>
          <w:lang w:val="en-US" w:eastAsia="zh-CN" w:bidi="ar-SA"/>
        </w:rPr>
        <w:t xml:space="preserve"> 5 结论：谁为“千亿赌局”买单？</w:t>
      </w:r>
    </w:p>
    <w:p w14:paraId="2E768C5A">
      <w:pPr>
        <w:rPr>
          <w:rFonts w:hint="eastAsia"/>
        </w:rPr>
      </w:pPr>
      <w:r>
        <w:rPr>
          <w:rFonts w:hint="default" w:ascii="宋体" w:hAnsi="宋体" w:eastAsia="宋体" w:cs="宋体"/>
          <w:kern w:val="2"/>
          <w:sz w:val="24"/>
          <w:szCs w:val="24"/>
          <w:lang w:val="en-US" w:eastAsia="zh-CN" w:bidi="ar-SA"/>
        </w:rPr>
        <w:t>回到本文开篇的那句话：“不是企业求着资本，而是资本追着创始人。”当资本追逐技术时，这被称颂为“创新驱动”；当资本决定技术方向时，这却应被称为“权力重构”。本文试图论证的正是：当前的AI资本狂潮已经越过了前一个阶段，进入了后一个阶段。</w:t>
      </w:r>
    </w:p>
    <w:p w14:paraId="48D800AC">
      <w:pPr>
        <w:rPr>
          <w:rFonts w:hint="eastAsia"/>
        </w:rPr>
      </w:pPr>
      <w:r>
        <w:rPr>
          <w:rFonts w:hint="default" w:ascii="宋体" w:hAnsi="宋体" w:eastAsia="宋体" w:cs="宋体"/>
          <w:kern w:val="2"/>
          <w:sz w:val="24"/>
          <w:szCs w:val="24"/>
          <w:lang w:val="en-US" w:eastAsia="zh-CN" w:bidi="ar-SA"/>
        </w:rPr>
        <w:t>DeepSeek的700亿融资、宁德时代的跨界扩张、大基金的全面介入、全球7250亿美元的年度开支——这些不是市场在为AI定价，而是AI正在被资本重新定价。在这个重新定价的过程中，三个趋势已经清晰可辨：</w:t>
      </w:r>
    </w:p>
    <w:p w14:paraId="5AFF9B67">
      <w:pPr>
        <w:rPr>
          <w:rFonts w:hint="eastAsia"/>
        </w:rPr>
      </w:pPr>
      <w:r>
        <w:rPr>
          <w:rFonts w:hint="default" w:ascii="宋体" w:hAnsi="宋体" w:eastAsia="宋体" w:cs="宋体"/>
          <w:kern w:val="2"/>
          <w:sz w:val="24"/>
          <w:szCs w:val="24"/>
          <w:lang w:val="en-US" w:eastAsia="zh-CN" w:bidi="ar-SA"/>
        </w:rPr>
        <w:t>第一，资本的集中化正在生产技术的垄断化。少数企业以天文数字的估值获得巨额融资，这些融资被投入不可逆的固定基础设施，形成后来者无从逾越的资本壁垒。技术竞争正在蜕变为资本竞争，而资本竞争的结果必然是赢家通吃。</w:t>
      </w:r>
    </w:p>
    <w:p w14:paraId="581ED836">
      <w:pPr>
        <w:rPr>
          <w:rFonts w:hint="eastAsia"/>
        </w:rPr>
      </w:pPr>
      <w:r>
        <w:rPr>
          <w:rFonts w:hint="default" w:ascii="宋体" w:hAnsi="宋体" w:eastAsia="宋体" w:cs="宋体"/>
          <w:kern w:val="2"/>
          <w:sz w:val="24"/>
          <w:szCs w:val="24"/>
          <w:lang w:val="en-US" w:eastAsia="zh-CN" w:bidi="ar-SA"/>
        </w:rPr>
        <w:t>第二，基础设施的资本化正在导致资源的私权化。当算力、数据、数据中心这些AI时代的核心基础设施被资本密集控制和私有化时，依赖这些基础设施的所有参与者——从大学实验室到地方政府到中小企业——都将不得不向资本巨头支付“算力租”。这不是一个技术问题，而是一个产权问题。</w:t>
      </w:r>
    </w:p>
    <w:p w14:paraId="0C3EDBC0">
      <w:pPr>
        <w:rPr>
          <w:rFonts w:hint="eastAsia"/>
        </w:rPr>
      </w:pPr>
      <w:r>
        <w:rPr>
          <w:rFonts w:hint="default" w:ascii="宋体" w:hAnsi="宋体" w:eastAsia="宋体" w:cs="宋体"/>
          <w:kern w:val="2"/>
          <w:sz w:val="24"/>
          <w:szCs w:val="24"/>
          <w:lang w:val="en-US" w:eastAsia="zh-CN" w:bidi="ar-SA"/>
        </w:rPr>
        <w:t>第三，非营利理想在资本需求面前的结构性溃败。OpenAI的转型不是孤例，而是规律。当AGI研发的资本需求量超过任何一个非营利组织所能触及的上限时，“让AGI造福全人类”的承诺就被“让AGI首先服务于资本回报”的逻辑所取代。</w:t>
      </w:r>
    </w:p>
    <w:p w14:paraId="04D671CD">
      <w:pPr>
        <w:rPr>
          <w:rFonts w:hint="eastAsia"/>
        </w:rPr>
      </w:pPr>
      <w:r>
        <w:rPr>
          <w:rFonts w:hint="default" w:ascii="宋体" w:hAnsi="宋体" w:eastAsia="宋体" w:cs="宋体"/>
          <w:kern w:val="2"/>
          <w:sz w:val="24"/>
          <w:szCs w:val="24"/>
          <w:lang w:val="en-US" w:eastAsia="zh-CN" w:bidi="ar-SA"/>
        </w:rPr>
        <w:t>这些趋势的叠加，指向同一个问题：AI的发展方向由少数资本巨头的“千亿赌局”决定，而这场赌局的筹码——电力、水资源、公共数据、劳动力——却来自整个社会。风险被社会化，收益被私权化。这不仅是AI行业的治理问题，更是数字时代最根本的分配正义问题。</w:t>
      </w:r>
    </w:p>
    <w:p w14:paraId="547E18F0">
      <w:pPr>
        <w:rPr>
          <w:rFonts w:hint="eastAsia"/>
        </w:rPr>
      </w:pPr>
    </w:p>
    <w:p w14:paraId="20498376">
      <w:pPr>
        <w:rPr>
          <w:rFonts w:hint="eastAsia"/>
        </w:rPr>
      </w:pPr>
      <w:r>
        <w:rPr>
          <w:rFonts w:hint="default" w:ascii="宋体" w:hAnsi="宋体" w:eastAsia="宋体" w:cs="宋体"/>
          <w:kern w:val="2"/>
          <w:sz w:val="24"/>
          <w:szCs w:val="24"/>
          <w:lang w:val="en-US" w:eastAsia="zh-CN" w:bidi="ar-SA"/>
        </w:rPr>
        <w:t>回到DeepSeek这个具体的案例。梁文锋做出了“开源优先、不为短期商业化所动”的承诺，这个承诺值得尊重。但当一个企业接受700亿外部资本融资时，承诺的可持性便不再仅取决于创始人的意志，而是取决于一个远比个人意愿强大的结构性力量——资本追求回报的内在本性。DeepSeek的故事才刚刚开始。它的结局将为本文提出的所有问题提供一个至关重要的现实答案。</w:t>
      </w:r>
    </w:p>
    <w:p w14:paraId="742320D3">
      <w:pPr>
        <w:rPr>
          <w:rFonts w:hint="eastAsia"/>
        </w:rPr>
      </w:pPr>
      <w:r>
        <w:rPr>
          <w:rFonts w:hint="eastAsia" w:ascii="黑体" w:hAnsi="宋体" w:eastAsia="黑体" w:cs="黑体"/>
          <w:b/>
          <w:bCs/>
          <w:kern w:val="2"/>
          <w:sz w:val="32"/>
          <w:szCs w:val="24"/>
          <w:lang w:val="en-US" w:eastAsia="zh-CN" w:bidi="ar-SA"/>
        </w:rPr>
        <w:t xml:space="preserve"> 参考文献</w:t>
      </w:r>
    </w:p>
    <w:p w14:paraId="08F56028">
      <w:pPr>
        <w:rPr>
          <w:rFonts w:hint="eastAsia"/>
        </w:rPr>
      </w:pPr>
      <w:r>
        <w:rPr>
          <w:rFonts w:hint="default" w:ascii="宋体" w:hAnsi="宋体" w:eastAsia="宋体" w:cs="宋体"/>
          <w:kern w:val="2"/>
          <w:sz w:val="24"/>
          <w:szCs w:val="24"/>
          <w:lang w:val="en-US" w:eastAsia="zh-CN" w:bidi="ar-SA"/>
        </w:rPr>
        <w:t>[1] 彭博社. 中国AI公司DeepSeek首轮融资700亿元[EB/OL]. 2026-05-22.</w:t>
      </w:r>
    </w:p>
    <w:p w14:paraId="2EAD851B">
      <w:pPr>
        <w:rPr>
          <w:rFonts w:hint="eastAsia"/>
        </w:rPr>
      </w:pPr>
      <w:r>
        <w:rPr>
          <w:rFonts w:hint="default" w:ascii="宋体" w:hAnsi="宋体" w:eastAsia="宋体" w:cs="宋体"/>
          <w:kern w:val="2"/>
          <w:sz w:val="24"/>
          <w:szCs w:val="24"/>
          <w:lang w:val="en-US" w:eastAsia="zh-CN" w:bidi="ar-SA"/>
        </w:rPr>
        <w:t>[2] 宁德时代关于收购世纪互联股份的公告[Z]. 2026-05-13.</w:t>
      </w:r>
    </w:p>
    <w:p w14:paraId="52B58B57">
      <w:pPr>
        <w:rPr>
          <w:rFonts w:hint="eastAsia"/>
        </w:rPr>
      </w:pPr>
      <w:r>
        <w:rPr>
          <w:rFonts w:hint="default" w:ascii="宋体" w:hAnsi="宋体" w:eastAsia="宋体" w:cs="宋体"/>
          <w:kern w:val="2"/>
          <w:sz w:val="24"/>
          <w:szCs w:val="24"/>
          <w:lang w:val="en-US" w:eastAsia="zh-CN" w:bidi="ar-SA"/>
        </w:rPr>
        <w:t>[3] 宁德时代关于入股中恒电气的公告[Z]. 2026-05.</w:t>
      </w:r>
    </w:p>
    <w:p w14:paraId="254469D0">
      <w:pPr>
        <w:rPr>
          <w:rFonts w:hint="eastAsia"/>
        </w:rPr>
      </w:pPr>
      <w:r>
        <w:rPr>
          <w:rFonts w:hint="default" w:ascii="宋体" w:hAnsi="宋体" w:eastAsia="宋体" w:cs="宋体"/>
          <w:kern w:val="2"/>
          <w:sz w:val="24"/>
          <w:szCs w:val="24"/>
          <w:lang w:val="en-US" w:eastAsia="zh-CN" w:bidi="ar-SA"/>
        </w:rPr>
        <w:t>[4] 宁德时代港股配售公告[Z]. 2026-04-28.</w:t>
      </w:r>
    </w:p>
    <w:p w14:paraId="570BCF5F">
      <w:pPr>
        <w:rPr>
          <w:rFonts w:hint="eastAsia"/>
        </w:rPr>
      </w:pPr>
      <w:r>
        <w:rPr>
          <w:rFonts w:hint="default" w:ascii="宋体" w:hAnsi="宋体" w:eastAsia="宋体" w:cs="宋体"/>
          <w:kern w:val="2"/>
          <w:sz w:val="24"/>
          <w:szCs w:val="24"/>
          <w:lang w:val="en-US" w:eastAsia="zh-CN" w:bidi="ar-SA"/>
        </w:rPr>
        <w:t>[5] 国家集成电路产业投资基金三期股份有限公司关于投资云脉芯联的公告[Z]. 2026-05-07.</w:t>
      </w:r>
    </w:p>
    <w:p w14:paraId="1AA560AE">
      <w:pPr>
        <w:rPr>
          <w:rFonts w:hint="eastAsia"/>
        </w:rPr>
      </w:pPr>
      <w:r>
        <w:rPr>
          <w:rFonts w:hint="default" w:ascii="宋体" w:hAnsi="宋体" w:eastAsia="宋体" w:cs="宋体"/>
          <w:kern w:val="2"/>
          <w:sz w:val="24"/>
          <w:szCs w:val="24"/>
          <w:lang w:val="en-US" w:eastAsia="zh-CN" w:bidi="ar-SA"/>
        </w:rPr>
        <w:t>[6] 马斯克诉OpenAI案庭审记录[Z]. 加州奥克兰联邦法院, 2026-04-27至2026-05-18.</w:t>
      </w:r>
    </w:p>
    <w:p w14:paraId="16C46711">
      <w:pPr>
        <w:rPr>
          <w:rFonts w:hint="eastAsia"/>
        </w:rPr>
      </w:pPr>
      <w:r>
        <w:rPr>
          <w:rFonts w:hint="default" w:ascii="宋体" w:hAnsi="宋体" w:eastAsia="宋体" w:cs="宋体"/>
          <w:kern w:val="2"/>
          <w:sz w:val="24"/>
          <w:szCs w:val="24"/>
          <w:lang w:val="en-US" w:eastAsia="zh-CN" w:bidi="ar-SA"/>
        </w:rPr>
        <w:t>[7] 谷歌母公司Alphabet、Meta、微软、亚马逊2026年第一季度财报[Z]. 2026年2-5月.</w:t>
      </w:r>
    </w:p>
    <w:p w14:paraId="5861CB04">
      <w:pPr>
        <w:rPr>
          <w:rFonts w:hint="eastAsia"/>
        </w:rPr>
      </w:pPr>
      <w:r>
        <w:rPr>
          <w:rFonts w:hint="default" w:ascii="宋体" w:hAnsi="宋体" w:eastAsia="宋体" w:cs="宋体"/>
          <w:kern w:val="2"/>
          <w:sz w:val="24"/>
          <w:szCs w:val="24"/>
          <w:lang w:val="en-US" w:eastAsia="zh-CN" w:bidi="ar-SA"/>
        </w:rPr>
        <w:t>[8] 全球AI领域融资报告（2026年1-2月）[R]. 2026-03.</w:t>
      </w:r>
    </w:p>
    <w:p w14:paraId="64BDC94F">
      <w:pPr>
        <w:rPr>
          <w:rFonts w:hint="eastAsia"/>
        </w:rPr>
      </w:pPr>
      <w:r>
        <w:rPr>
          <w:rFonts w:hint="default" w:ascii="宋体" w:hAnsi="宋体" w:eastAsia="宋体" w:cs="宋体"/>
          <w:kern w:val="2"/>
          <w:sz w:val="24"/>
          <w:szCs w:val="24"/>
          <w:lang w:val="en-US" w:eastAsia="zh-CN" w:bidi="ar-SA"/>
        </w:rPr>
        <w:t>[9] 伊朗对阿联酋、巴林数据中心无人机袭击事件的国际报道[EB/OL]. 2026-03.</w:t>
      </w:r>
    </w:p>
    <w:p w14:paraId="72B3A16D">
      <w:pPr>
        <w:rPr>
          <w:rFonts w:hint="eastAsia"/>
        </w:rPr>
      </w:pPr>
      <w:r>
        <w:rPr>
          <w:rFonts w:hint="default" w:ascii="宋体" w:hAnsi="宋体" w:eastAsia="宋体" w:cs="宋体"/>
          <w:kern w:val="2"/>
          <w:sz w:val="24"/>
          <w:szCs w:val="24"/>
          <w:lang w:val="en-US" w:eastAsia="zh-CN" w:bidi="ar-SA"/>
        </w:rPr>
        <w:t>[10] 全球南方AI数字殖民的讨论文章[EB/OL]. 2026年4-5月.</w:t>
      </w:r>
    </w:p>
    <w:p w14:paraId="7A2B4BC5">
      <w:pPr>
        <w:rPr>
          <w:rFonts w:hint="eastAsia"/>
        </w:rPr>
      </w:pPr>
      <w:r>
        <w:rPr>
          <w:rFonts w:hint="default" w:ascii="宋体" w:hAnsi="宋体" w:eastAsia="宋体" w:cs="宋体"/>
          <w:kern w:val="2"/>
          <w:sz w:val="24"/>
          <w:szCs w:val="24"/>
          <w:lang w:val="en-US" w:eastAsia="zh-CN" w:bidi="ar-SA"/>
        </w:rPr>
        <w:t>[11] 加纳议会信息与通信委员会数字立法议程[EB/OL]. 2026.</w:t>
      </w:r>
    </w:p>
    <w:p w14:paraId="3BB32571">
      <w:r>
        <w:rPr>
          <w:rFonts w:hint="default" w:ascii="宋体" w:hAnsi="宋体" w:eastAsia="宋体" w:cs="宋体"/>
          <w:kern w:val="2"/>
          <w:sz w:val="24"/>
          <w:szCs w:val="24"/>
          <w:lang w:val="en-US" w:eastAsia="zh-CN" w:bidi="ar-SA"/>
        </w:rPr>
        <w:t>[12] DeepSeek注册资本与股权结构变更公告[Z]. 2026-04-27.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384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19</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2026-05-23T13:45:33Z</dcterms:created>
  <dc:creator>永远健康</dc:creator>
  <cp:lastModifiedBy>WPS_1719835985</cp:lastModifiedBy>
  <dcterms:modified xsi:type="dcterms:W3CDTF">2026-05-23T14:04:40Z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0453F6071D9D47798D88EC92DA9E2E58_12</vt:lpwstr>
  </property>
</Properties>
</file>