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D3D2E">
      <w:pPr>
        <w:rPr>
          <w:rFonts w:hint="eastAsia"/>
        </w:rPr>
      </w:pPr>
      <w:r>
        <w:rPr>
          <w:rFonts w:hint="eastAsia" w:ascii="黑体" w:hAnsi="宋体" w:eastAsia="黑体" w:cs="黑体"/>
          <w:b/>
          <w:bCs/>
          <w:kern w:val="2"/>
          <w:sz w:val="44"/>
          <w:szCs w:val="24"/>
          <w:lang w:val="en-US" w:eastAsia="zh-CN" w:bidi="ar-SA"/>
        </w:rPr>
        <w:t xml:space="preserve"> 纸面到地面：薪资社保严查的制度激活与政治逻辑</w:t>
      </w:r>
    </w:p>
    <w:p w14:paraId="5E8FC1DB">
      <w:pPr>
        <w:rPr>
          <w:rFonts w:hint="eastAsia"/>
        </w:rPr>
      </w:pPr>
    </w:p>
    <w:p w14:paraId="1B333DD5">
      <w:pPr>
        <w:rPr>
          <w:rFonts w:hint="eastAsia" w:eastAsiaTheme="minorEastAsia"/>
          <w:lang w:eastAsia="zh-CN"/>
        </w:rPr>
      </w:pPr>
      <w:r>
        <w:rPr>
          <w:rFonts w:hint="eastAsia" w:ascii="黑体" w:hAnsi="宋体" w:eastAsia="黑体" w:cs="黑体"/>
          <w:b/>
          <w:bCs/>
          <w:kern w:val="2"/>
          <w:sz w:val="24"/>
          <w:szCs w:val="24"/>
          <w:lang w:val="en-US" w:eastAsia="zh-CN" w:bidi="ar-SA"/>
        </w:rPr>
        <w:t>AIGC使用声明</w:t>
      </w:r>
    </w:p>
    <w:p w14:paraId="041AB091">
      <w:pPr>
        <w:rPr>
          <w:rFonts w:hint="eastAsi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662EAC68">
      <w:pPr>
        <w:rPr>
          <w:rFonts w:hint="eastAsia"/>
        </w:rPr>
      </w:pPr>
    </w:p>
    <w:p w14:paraId="3FC1C2EE">
      <w:pPr>
        <w:rPr>
          <w:rFonts w:hint="eastAsia"/>
        </w:rPr>
      </w:pPr>
    </w:p>
    <w:p w14:paraId="50C1D55D">
      <w:pPr>
        <w:rPr>
          <w:rFonts w:hint="eastAsia"/>
        </w:rPr>
      </w:pPr>
      <w:r>
        <w:rPr>
          <w:rFonts w:hint="eastAsia" w:ascii="黑体" w:hAnsi="宋体" w:eastAsia="黑体" w:cs="黑体"/>
          <w:b/>
          <w:bCs/>
          <w:kern w:val="2"/>
          <w:sz w:val="24"/>
          <w:szCs w:val="24"/>
          <w:lang w:val="en-US" w:eastAsia="zh-CN" w:bidi="ar-SA"/>
        </w:rPr>
        <w:t xml:space="preserve"> 摘要</w:t>
      </w:r>
    </w:p>
    <w:p w14:paraId="1F4565A2">
      <w:pPr>
        <w:rPr>
          <w:rFonts w:hint="eastAsia"/>
        </w:rPr>
      </w:pPr>
    </w:p>
    <w:p w14:paraId="6CAF5A01">
      <w:pPr>
        <w:rPr>
          <w:rFonts w:hint="eastAsia"/>
        </w:rPr>
      </w:pPr>
      <w:r>
        <w:rPr>
          <w:rFonts w:hint="default" w:ascii="宋体" w:hAnsi="宋体" w:eastAsia="宋体" w:cs="宋体"/>
          <w:kern w:val="2"/>
          <w:sz w:val="24"/>
          <w:szCs w:val="24"/>
          <w:lang w:val="en-US" w:eastAsia="zh-CN" w:bidi="ar-SA"/>
        </w:rPr>
        <w:t>2026年5月起，一场覆盖全国的薪资社保严查行动全面展开。拖欠工资的老板面临最高七年有期徒刑，试用期不交社保的“行业惯例”被明确宣告违法，中央巡视组进驻人社部门，“穿透省市县三级，覆盖社保全链条”。这场严查的特殊之处在于：它并未创设新的法律规范——试用期交社保是2011年《社会保险法》的既有条款，拖欠工资入刑是《刑法修正案（八）》已有规定，法定节假日三倍工资是《劳动法》已施行三十年的条文。本轮行动的本质，是将长期处于“纸面”的法律规定激活为“地面”的执法实践。本文以“制度激活”为核心分析框架，从三个维度解剖这一进程：一是法律文本如何从“宣示性条款”转化为“可执行规范”——司法解释为欠薪入刑确立了明确的数额门槛和阶梯式从宽制度；二是“政治增压”如何突破“行政惯性”——中央巡视嵌入劳动执法，打通了党内监督与行政监察的联动通道；三是制度执行的“成本转移”——检察机关以行政非诉执行监督为切口，将执法启动成本从劳动者个体转移至公权力机关。本文认为，中国劳动者权益保护的真正挑战，已从“无法可依”转变为“有法不依”，从制度供给不足转向制度执行失灵。本轮严查的制度创新，不在于写出新规则，而在于激活旧规则——当“员工自愿放弃社保承诺书”被明确宣告无效，当人社部门责令支付的文书直接触发刑事追诉，制度正在从“可以遵守”的柔性倡导，转变为“必须遵守”的刚性约束。</w:t>
      </w:r>
    </w:p>
    <w:p w14:paraId="4D128333">
      <w:pPr>
        <w:rPr>
          <w:rFonts w:hint="eastAsia"/>
        </w:rPr>
      </w:pPr>
    </w:p>
    <w:p w14:paraId="196A7C0E">
      <w:pPr>
        <w:rPr>
          <w:rFonts w:hint="eastAsia"/>
        </w:rPr>
      </w:pPr>
      <w:r>
        <w:rPr>
          <w:rFonts w:hint="eastAsia" w:ascii="黑体" w:hAnsi="宋体" w:eastAsia="黑体" w:cs="黑体"/>
          <w:b/>
          <w:bCs/>
          <w:kern w:val="2"/>
          <w:sz w:val="24"/>
          <w:szCs w:val="24"/>
          <w:lang w:val="en-US" w:eastAsia="zh-CN" w:bidi="ar-SA"/>
        </w:rPr>
        <w:t>关键词：劳动者权益保护；欠薪入刑；社保缴纳；制度激活；中央巡视；劳动监察</w:t>
      </w:r>
    </w:p>
    <w:p w14:paraId="26CB60C5">
      <w:pPr>
        <w:rPr>
          <w:rFonts w:hint="eastAsia"/>
        </w:rPr>
      </w:pPr>
    </w:p>
    <w:p w14:paraId="00A4DE33">
      <w:pPr>
        <w:rPr>
          <w:rFonts w:hint="eastAsia"/>
        </w:rPr>
      </w:pPr>
    </w:p>
    <w:p w14:paraId="4B8E434F">
      <w:pPr>
        <w:rPr>
          <w:rFonts w:hint="eastAsia"/>
        </w:rPr>
      </w:pPr>
      <w:r>
        <w:rPr>
          <w:rFonts w:hint="eastAsia" w:ascii="黑体" w:hAnsi="宋体" w:eastAsia="黑体" w:cs="黑体"/>
          <w:b/>
          <w:bCs/>
          <w:kern w:val="2"/>
          <w:sz w:val="32"/>
          <w:szCs w:val="24"/>
          <w:lang w:val="en-US" w:eastAsia="zh-CN" w:bidi="ar-SA"/>
        </w:rPr>
        <w:t xml:space="preserve"> 1 引言：一场没有新法律的严查</w:t>
      </w:r>
    </w:p>
    <w:p w14:paraId="60142112">
      <w:pPr>
        <w:rPr>
          <w:rFonts w:hint="eastAsia"/>
        </w:rPr>
      </w:pPr>
    </w:p>
    <w:p w14:paraId="11A09C0B">
      <w:pPr>
        <w:rPr>
          <w:rFonts w:hint="eastAsia"/>
        </w:rPr>
      </w:pPr>
      <w:r>
        <w:rPr>
          <w:rFonts w:hint="default" w:ascii="宋体" w:hAnsi="宋体" w:eastAsia="宋体" w:cs="宋体"/>
          <w:kern w:val="2"/>
          <w:sz w:val="24"/>
          <w:szCs w:val="24"/>
          <w:lang w:val="en-US" w:eastAsia="zh-CN" w:bidi="ar-SA"/>
        </w:rPr>
        <w:t>2026年5月，一场声势浩大的全国薪资社保严查行动拉开序幕。拖欠工资的老板面临最高七年有期徒刑；“无偿加班”“试用期不交社保”“用补贴代替社保”等长期存在于各行各业的“老规矩”被一一宣告违法；中央巡视组进驻人社部门，“穿透省市县三级，覆盖社保全链条”。舆论场上，这场行动被冠以“史上最严”的标签。</w:t>
      </w:r>
    </w:p>
    <w:p w14:paraId="635E96FC">
      <w:pPr>
        <w:rPr>
          <w:rFonts w:hint="eastAsia"/>
        </w:rPr>
      </w:pPr>
    </w:p>
    <w:p w14:paraId="138DADEE">
      <w:pPr>
        <w:rPr>
          <w:rFonts w:hint="eastAsia"/>
        </w:rPr>
      </w:pPr>
      <w:r>
        <w:rPr>
          <w:rFonts w:hint="default" w:ascii="宋体" w:hAnsi="宋体" w:eastAsia="宋体" w:cs="宋体"/>
          <w:kern w:val="2"/>
          <w:sz w:val="24"/>
          <w:szCs w:val="24"/>
          <w:lang w:val="en-US" w:eastAsia="zh-CN" w:bidi="ar-SA"/>
        </w:rPr>
        <w:t>然而，翻阅此次严查所依据的法律文本，会发现一个耐人寻味的现象：所有这些“新动作”，所依据的几乎都是“老法律”。试用期必须缴纳社保，是2011年施行的《社会保险法》第五十八条的既有规定；拖欠劳动报酬入刑，是2011年《刑法修正案（八）》增设的罪名；法定节假日加班必须支付三倍工资且不得以补休替代，是1995年施行的《劳动法》第四十四条早已写明的条款。</w:t>
      </w:r>
    </w:p>
    <w:p w14:paraId="54146F77">
      <w:pPr>
        <w:rPr>
          <w:rFonts w:hint="eastAsia"/>
        </w:rPr>
      </w:pPr>
    </w:p>
    <w:p w14:paraId="6FCC9ABF">
      <w:pPr>
        <w:rPr>
          <w:rFonts w:hint="eastAsia"/>
        </w:rPr>
      </w:pPr>
      <w:r>
        <w:rPr>
          <w:rFonts w:hint="default" w:ascii="宋体" w:hAnsi="宋体" w:eastAsia="宋体" w:cs="宋体"/>
          <w:kern w:val="2"/>
          <w:sz w:val="24"/>
          <w:szCs w:val="24"/>
          <w:lang w:val="en-US" w:eastAsia="zh-CN" w:bidi="ar-SA"/>
        </w:rPr>
        <w:t>这是一场没有新法律的严查。它的特殊之处不在于创造了新的制度供给，而在于激活了旧的制度存量。这个判断看似平淡，却蕴含着理解中国劳动治理变迁的一个核心线索：在过去数十年的制度演进中，劳动领域的法律文本供给已经相当充分，真正的瓶颈不是“无法可依”，而是“有法不依”。试用期不交社保之所以长期成为“行业惯例”，不是因为法律没有禁止，而是因为法律禁止后没有受到持续有效的追究。</w:t>
      </w:r>
    </w:p>
    <w:p w14:paraId="645C49AA">
      <w:pPr>
        <w:rPr>
          <w:rFonts w:hint="eastAsia"/>
        </w:rPr>
      </w:pPr>
    </w:p>
    <w:p w14:paraId="65AD4FBE">
      <w:pPr>
        <w:rPr>
          <w:rFonts w:hint="eastAsia"/>
        </w:rPr>
      </w:pPr>
      <w:r>
        <w:rPr>
          <w:rFonts w:hint="default" w:ascii="宋体" w:hAnsi="宋体" w:eastAsia="宋体" w:cs="宋体"/>
          <w:kern w:val="2"/>
          <w:sz w:val="24"/>
          <w:szCs w:val="24"/>
          <w:lang w:val="en-US" w:eastAsia="zh-CN" w:bidi="ar-SA"/>
        </w:rPr>
        <w:t>因此，本轮严查的制度逻辑不是“出新规”，而是“激活旧法”。本文试图回答的正是这一激活的三个关键环节：刑法如何从“宣示性条款”转化为“可执行规范”？中央巡视的政治压力如何突破行政执法的惯性？制度执行的启动成本如何从劳动者个体向公权力机关转移？这三个问题的答案，共同构成了理解中国劳动者权益保护从“纸面”走向“地面”的制度密码。</w:t>
      </w:r>
    </w:p>
    <w:p w14:paraId="4CD9614A">
      <w:pPr>
        <w:rPr>
          <w:rFonts w:hint="eastAsia"/>
        </w:rPr>
      </w:pPr>
    </w:p>
    <w:p w14:paraId="76A1C44F">
      <w:pPr>
        <w:rPr>
          <w:rFonts w:hint="eastAsia"/>
        </w:rPr>
      </w:pPr>
    </w:p>
    <w:p w14:paraId="3FB97FEC">
      <w:pPr>
        <w:rPr>
          <w:rFonts w:hint="eastAsia" w:ascii="黑体" w:hAnsi="宋体" w:eastAsia="黑体" w:cs="黑体"/>
          <w:b/>
          <w:bCs/>
          <w:kern w:val="2"/>
          <w:sz w:val="32"/>
          <w:szCs w:val="24"/>
          <w:lang w:val="en-US" w:eastAsia="zh-CN" w:bidi="ar-SA"/>
        </w:rPr>
      </w:pPr>
      <w:r>
        <w:rPr>
          <w:rFonts w:hint="eastAsia" w:ascii="黑体" w:hAnsi="宋体" w:eastAsia="黑体" w:cs="黑体"/>
          <w:b/>
          <w:bCs/>
          <w:kern w:val="2"/>
          <w:sz w:val="32"/>
          <w:szCs w:val="24"/>
          <w:lang w:val="en-US" w:eastAsia="zh-CN" w:bidi="ar-SA"/>
        </w:rPr>
        <w:t xml:space="preserve"> 2 欠薪入刑：从“写在纸上”到“落在地上”</w:t>
      </w:r>
    </w:p>
    <w:p w14:paraId="6B3E1D9E">
      <w:pPr>
        <w:rPr>
          <w:rFonts w:hint="eastAsia" w:ascii="黑体" w:hAnsi="宋体" w:eastAsia="黑体" w:cs="黑体"/>
          <w:b/>
          <w:bCs/>
          <w:kern w:val="2"/>
          <w:sz w:val="32"/>
          <w:szCs w:val="24"/>
          <w:lang w:val="en-US" w:eastAsia="zh-CN" w:bidi="ar-SA"/>
        </w:rPr>
      </w:pPr>
    </w:p>
    <w:p w14:paraId="29414630">
      <w:pPr>
        <w:rPr>
          <w:rFonts w:hint="eastAsia"/>
        </w:rPr>
      </w:pPr>
      <w:r>
        <w:rPr>
          <w:rFonts w:hint="eastAsia" w:ascii="黑体" w:hAnsi="宋体" w:eastAsia="黑体" w:cs="黑体"/>
          <w:kern w:val="2"/>
          <w:sz w:val="30"/>
          <w:szCs w:val="24"/>
          <w:lang w:val="en-US" w:eastAsia="zh-CN" w:bidi="ar-SA"/>
        </w:rPr>
        <w:t xml:space="preserve"> 2.1 刑法的激活：司法解释为入刑铺平道路</w:t>
      </w:r>
    </w:p>
    <w:p w14:paraId="53506BA7">
      <w:pPr>
        <w:rPr>
          <w:rFonts w:hint="eastAsia"/>
        </w:rPr>
      </w:pPr>
    </w:p>
    <w:p w14:paraId="772E2229">
      <w:pPr>
        <w:rPr>
          <w:rFonts w:hint="eastAsia"/>
        </w:rPr>
      </w:pPr>
      <w:r>
        <w:rPr>
          <w:rFonts w:hint="default" w:ascii="宋体" w:hAnsi="宋体" w:eastAsia="宋体" w:cs="宋体"/>
          <w:kern w:val="2"/>
          <w:sz w:val="24"/>
          <w:szCs w:val="24"/>
          <w:lang w:val="en-US" w:eastAsia="zh-CN" w:bidi="ar-SA"/>
        </w:rPr>
        <w:t>拒不支付劳动报酬罪入刑已有15年。2011年《刑法修正案（八）》增设第二百七十六条之一，将“以转移财产、逃匿等方法逃避支付劳动者的劳动报酬”和“有能力支付而不支付”两种情形纳入刑事处罚范围。此后十余年间，该罪名的适用率始终不高。问题的症结不在于“要不要追责”，而在于“怎么追责”——法条中的“数额较大”“造成严重后果”“经政府有关部门责令支付仍不支付”等构成要件，在实践中长期缺乏明确的操作标准。</w:t>
      </w:r>
    </w:p>
    <w:p w14:paraId="2056ED52">
      <w:pPr>
        <w:rPr>
          <w:rFonts w:hint="eastAsia"/>
        </w:rPr>
      </w:pPr>
    </w:p>
    <w:p w14:paraId="169E68B9">
      <w:pPr>
        <w:rPr>
          <w:rFonts w:hint="eastAsia"/>
        </w:rPr>
      </w:pPr>
      <w:r>
        <w:rPr>
          <w:rFonts w:hint="default" w:ascii="宋体" w:hAnsi="宋体" w:eastAsia="宋体" w:cs="宋体"/>
          <w:kern w:val="2"/>
          <w:sz w:val="24"/>
          <w:szCs w:val="24"/>
          <w:lang w:val="en-US" w:eastAsia="zh-CN" w:bidi="ar-SA"/>
        </w:rPr>
        <w:t>此次严查的重要制度铺垫，是最高人民法院出台了《关于审理拒不支付劳动报酬刑事案件适用法律若干问题的解释》，将上述模糊要件逐一量化。“数额较大”被明确为两条具体红线：拒不支付一名劳动者三个月以上劳动报酬且数额在五千元至二万元以上；或拒不支付十名以上劳动者劳动报酬且数额累计在三万元至十万元以上。“造成严重后果”则明确指向劳动者基本生活受到严重影响、重大疾病无法及时医治或失学等具体情形。</w:t>
      </w:r>
    </w:p>
    <w:p w14:paraId="77C6769A">
      <w:pPr>
        <w:rPr>
          <w:rFonts w:hint="eastAsia"/>
        </w:rPr>
      </w:pPr>
    </w:p>
    <w:p w14:paraId="1079C27D">
      <w:pPr>
        <w:rPr>
          <w:rFonts w:hint="eastAsia"/>
        </w:rPr>
      </w:pPr>
      <w:r>
        <w:rPr>
          <w:rFonts w:hint="default" w:ascii="宋体" w:hAnsi="宋体" w:eastAsia="宋体" w:cs="宋体"/>
          <w:kern w:val="2"/>
          <w:sz w:val="24"/>
          <w:szCs w:val="24"/>
          <w:lang w:val="en-US" w:eastAsia="zh-CN" w:bidi="ar-SA"/>
        </w:rPr>
        <w:t>这一定量化处理的关键意义在于：它把刑法条文从一个需要逐案裁量的“宣示性规范”，转变为一个可以直接对号入座的“操作性规范”。一线执法人员不再需要在“数额较大”的模糊地带中纠结，而是有了明确的数量门槛。正如律师界所概括的“入刑三要素”：客观上的欠薪事实、主观上的逃避或拒不支付行为、数额上的法定门槛——三要素齐备，即触发刑事追诉。这种“要素化”的规范技术，大幅压缩了执法自由裁量的空间，也压缩了欠薪者通过拖延、推诿来逃避法律责任的制度缝隙。</w:t>
      </w:r>
    </w:p>
    <w:p w14:paraId="282DCCB0">
      <w:pPr>
        <w:rPr>
          <w:rFonts w:hint="eastAsia"/>
        </w:rPr>
      </w:pPr>
    </w:p>
    <w:p w14:paraId="5FC923D2">
      <w:pPr>
        <w:rPr>
          <w:rFonts w:hint="eastAsia"/>
        </w:rPr>
      </w:pPr>
      <w:r>
        <w:rPr>
          <w:rFonts w:hint="eastAsia" w:ascii="黑体" w:hAnsi="宋体" w:eastAsia="黑体" w:cs="黑体"/>
          <w:kern w:val="2"/>
          <w:sz w:val="30"/>
          <w:szCs w:val="24"/>
          <w:lang w:val="en-US" w:eastAsia="zh-CN" w:bidi="ar-SA"/>
        </w:rPr>
        <w:t xml:space="preserve"> 2.2 阶梯式从宽：惩罚与补偿的平衡设计</w:t>
      </w:r>
    </w:p>
    <w:p w14:paraId="41BC6477">
      <w:pPr>
        <w:rPr>
          <w:rFonts w:hint="eastAsia"/>
        </w:rPr>
      </w:pPr>
    </w:p>
    <w:p w14:paraId="51129D4B">
      <w:pPr>
        <w:rPr>
          <w:rFonts w:hint="eastAsia"/>
        </w:rPr>
      </w:pPr>
      <w:r>
        <w:rPr>
          <w:rFonts w:hint="default" w:ascii="宋体" w:hAnsi="宋体" w:eastAsia="宋体" w:cs="宋体"/>
          <w:kern w:val="2"/>
          <w:sz w:val="24"/>
          <w:szCs w:val="24"/>
          <w:lang w:val="en-US" w:eastAsia="zh-CN" w:bidi="ar-SA"/>
        </w:rPr>
        <w:t>司法解释的另一个核心制度创新，是建立了“刑事立案前→提起公诉前→一审宣判前”的阶梯式从宽处罚机制。在刑事立案前支付劳动报酬并依法承担赔偿责任的，可以认定为情节显著轻微危害不大，不认为是犯罪；在提起公诉前支付的，可以减轻或者免除刑事处罚；在一审宣判前支付的，可以从轻处罚。</w:t>
      </w:r>
    </w:p>
    <w:p w14:paraId="318CFE17">
      <w:pPr>
        <w:rPr>
          <w:rFonts w:hint="eastAsia"/>
        </w:rPr>
      </w:pPr>
    </w:p>
    <w:p w14:paraId="492B1BD6">
      <w:pPr>
        <w:rPr>
          <w:rFonts w:hint="eastAsia"/>
        </w:rPr>
      </w:pPr>
      <w:r>
        <w:rPr>
          <w:rFonts w:hint="default" w:ascii="宋体" w:hAnsi="宋体" w:eastAsia="宋体" w:cs="宋体"/>
          <w:kern w:val="2"/>
          <w:sz w:val="24"/>
          <w:szCs w:val="24"/>
          <w:lang w:val="en-US" w:eastAsia="zh-CN" w:bidi="ar-SA"/>
        </w:rPr>
        <w:t>这个递进式框架的制度理性在于：它同时服务于两个可能相互冲突的政策目标——惩治恶意欠薪与追回劳动者的工资。如果入刑门槛过于刚性，欠薪者一旦自知“反正要坐牢”便破罐破摔、拒绝支付，反而损害了劳动者最核心的诉求——拿到被拖欠的工资。阶梯式从宽则为欠薪者保留了“回头是岸”的激励，越早付清欠薪，刑事责任越轻。这不是对违法者的无原则宽容，而是将刑事威慑力转化为迫使欠薪者在每一个时间节点上都面临“付钱减轻罪责”的持续压力，从而最大程度地保障劳动者工资的实际追回。</w:t>
      </w:r>
    </w:p>
    <w:p w14:paraId="0DD8D7DF">
      <w:pPr>
        <w:rPr>
          <w:rFonts w:hint="eastAsia"/>
        </w:rPr>
      </w:pPr>
    </w:p>
    <w:p w14:paraId="50964D01">
      <w:pPr>
        <w:rPr>
          <w:rFonts w:hint="eastAsia" w:ascii="黑体" w:hAnsi="宋体" w:eastAsia="黑体" w:cs="黑体"/>
          <w:kern w:val="2"/>
          <w:sz w:val="30"/>
          <w:szCs w:val="24"/>
          <w:lang w:val="en-US" w:eastAsia="zh-CN" w:bidi="ar-SA"/>
        </w:rPr>
      </w:pPr>
      <w:r>
        <w:rPr>
          <w:rFonts w:hint="eastAsia" w:ascii="黑体" w:hAnsi="宋体" w:eastAsia="黑体" w:cs="黑体"/>
          <w:kern w:val="2"/>
          <w:sz w:val="30"/>
          <w:szCs w:val="24"/>
          <w:lang w:val="en-US" w:eastAsia="zh-CN" w:bidi="ar-SA"/>
        </w:rPr>
        <w:t xml:space="preserve"> 2.3 通道打通：行政处罚与刑事追诉的无缝衔接</w:t>
      </w:r>
    </w:p>
    <w:p w14:paraId="34440CC8">
      <w:pPr>
        <w:rPr>
          <w:rFonts w:hint="eastAsia"/>
        </w:rPr>
      </w:pPr>
    </w:p>
    <w:p w14:paraId="2924B827">
      <w:pPr>
        <w:rPr>
          <w:rFonts w:hint="eastAsia"/>
        </w:rPr>
      </w:pPr>
      <w:r>
        <w:rPr>
          <w:rFonts w:hint="default" w:ascii="宋体" w:hAnsi="宋体" w:eastAsia="宋体" w:cs="宋体"/>
          <w:kern w:val="2"/>
          <w:sz w:val="24"/>
          <w:szCs w:val="24"/>
          <w:lang w:val="en-US" w:eastAsia="zh-CN" w:bidi="ar-SA"/>
        </w:rPr>
        <w:t>入刑标准的量化还带来一个被舆论较少关注但制度意义更为深远的改变：人社部门的行政处罚与公安机关的刑事追诉之间的通道被全面打通。</w:t>
      </w:r>
    </w:p>
    <w:p w14:paraId="528DC189">
      <w:pPr>
        <w:rPr>
          <w:rFonts w:hint="eastAsia"/>
        </w:rPr>
      </w:pPr>
    </w:p>
    <w:p w14:paraId="6D1EC883">
      <w:pPr>
        <w:rPr>
          <w:rFonts w:hint="eastAsia"/>
        </w:rPr>
      </w:pPr>
      <w:r>
        <w:rPr>
          <w:rFonts w:hint="default" w:ascii="宋体" w:hAnsi="宋体" w:eastAsia="宋体" w:cs="宋体"/>
          <w:kern w:val="2"/>
          <w:sz w:val="24"/>
          <w:szCs w:val="24"/>
          <w:lang w:val="en-US" w:eastAsia="zh-CN" w:bidi="ar-SA"/>
        </w:rPr>
        <w:t>此前，大量欠薪案件的处理路径是：人社部门下达责令改正通知书→企业拒不执行→劳动者自行提起劳动仲裁→漫长的民事诉讼。行政执法与刑事司法之间的转换需要劳动者自行推动，而劳动者在这一过程中面临信息不对称、举证困难和程序冗长等多重障碍。新机制下，人社部门责令支付的法律文书——限期整改指令书、行政处理决定书——在送达后，若欠薪者仍不支付，人社部门可直接移送公安机关立案，无需劳动者自行跑完全部前置程序。</w:t>
      </w:r>
    </w:p>
    <w:p w14:paraId="77F83974">
      <w:pPr>
        <w:rPr>
          <w:rFonts w:hint="eastAsia"/>
        </w:rPr>
      </w:pPr>
    </w:p>
    <w:p w14:paraId="4357F31C">
      <w:pPr>
        <w:rPr>
          <w:rFonts w:hint="eastAsia"/>
        </w:rPr>
      </w:pPr>
      <w:r>
        <w:rPr>
          <w:rFonts w:hint="default" w:ascii="宋体" w:hAnsi="宋体" w:eastAsia="宋体" w:cs="宋体"/>
          <w:kern w:val="2"/>
          <w:sz w:val="24"/>
          <w:szCs w:val="24"/>
          <w:lang w:val="en-US" w:eastAsia="zh-CN" w:bidi="ar-SA"/>
        </w:rPr>
        <w:t>更值得关注的是送达制度的完善。针对欠薪者逃匿导致文书无法送达的常见情形，司法解释明确规定：通过在其住所地、生产经营场所等地张贴责令支付文书并拍照录像记录的方式，即视为“经政府有关部门责令支付”。这意味着，欠薪者不能再通过“跑路”来阻断行政责令的送达效力。一旦人社部门完成了规定动作的送达程序，刑事追诉的扳机即可扣响。行政处罚与刑事追诉的衔接，就从原来的“劳动者推动”变成了“制度自动触发”。</w:t>
      </w:r>
    </w:p>
    <w:p w14:paraId="0BC278A2">
      <w:pPr>
        <w:rPr>
          <w:rFonts w:hint="eastAsia"/>
        </w:rPr>
      </w:pPr>
    </w:p>
    <w:p w14:paraId="48DC54A5">
      <w:pPr>
        <w:rPr>
          <w:rFonts w:hint="eastAsia"/>
        </w:rPr>
      </w:pPr>
    </w:p>
    <w:p w14:paraId="2B98CCE1">
      <w:pPr>
        <w:rPr>
          <w:rFonts w:hint="eastAsia"/>
        </w:rPr>
      </w:pPr>
      <w:r>
        <w:rPr>
          <w:rFonts w:hint="eastAsia" w:ascii="黑体" w:hAnsi="宋体" w:eastAsia="黑体" w:cs="黑体"/>
          <w:b/>
          <w:bCs/>
          <w:kern w:val="2"/>
          <w:sz w:val="30"/>
          <w:szCs w:val="24"/>
          <w:lang w:val="en-US" w:eastAsia="zh-CN" w:bidi="ar-SA"/>
        </w:rPr>
        <w:t xml:space="preserve"> 3 社保严查：撕掉“自愿放弃”的法律无效标签</w:t>
      </w:r>
    </w:p>
    <w:p w14:paraId="56DC5D5D">
      <w:pPr>
        <w:rPr>
          <w:rFonts w:hint="eastAsia"/>
        </w:rPr>
      </w:pPr>
    </w:p>
    <w:p w14:paraId="176E534A">
      <w:pPr>
        <w:rPr>
          <w:rFonts w:hint="eastAsia"/>
        </w:rPr>
      </w:pPr>
      <w:r>
        <w:rPr>
          <w:rFonts w:hint="eastAsia" w:ascii="黑体" w:hAnsi="宋体" w:eastAsia="黑体" w:cs="黑体"/>
          <w:kern w:val="2"/>
          <w:sz w:val="30"/>
          <w:szCs w:val="24"/>
          <w:lang w:val="en-US" w:eastAsia="zh-CN" w:bidi="ar-SA"/>
        </w:rPr>
        <w:t xml:space="preserve"> 3.1 “潜规则”的合法化包装</w:t>
      </w:r>
    </w:p>
    <w:p w14:paraId="5B05BAB7">
      <w:pPr>
        <w:rPr>
          <w:rFonts w:hint="eastAsia"/>
        </w:rPr>
      </w:pPr>
    </w:p>
    <w:p w14:paraId="4A211C81">
      <w:pPr>
        <w:rPr>
          <w:rFonts w:hint="eastAsia"/>
        </w:rPr>
      </w:pPr>
      <w:r>
        <w:rPr>
          <w:rFonts w:hint="default" w:ascii="宋体" w:hAnsi="宋体" w:eastAsia="宋体" w:cs="宋体"/>
          <w:kern w:val="2"/>
          <w:sz w:val="24"/>
          <w:szCs w:val="24"/>
          <w:lang w:val="en-US" w:eastAsia="zh-CN" w:bidi="ar-SA"/>
        </w:rPr>
        <w:t>与欠薪相比，社保领域的违规行为更加隐蔽，也更加普遍。在此次严查中被集中纠正的三种“行业惯例”——试用期不交社保、员工签署“自愿放弃社保承诺书”、以社保补贴代替正式缴费——都具备一个共同特征：它们在形式上经过了某种“双方同意”的包装，从而长期游离于违法与违规的灰色地带。</w:t>
      </w:r>
    </w:p>
    <w:p w14:paraId="17512291">
      <w:pPr>
        <w:rPr>
          <w:rFonts w:hint="eastAsia"/>
        </w:rPr>
      </w:pPr>
    </w:p>
    <w:p w14:paraId="4777E7B8">
      <w:pPr>
        <w:rPr>
          <w:rFonts w:hint="eastAsia"/>
        </w:rPr>
      </w:pPr>
      <w:r>
        <w:rPr>
          <w:rFonts w:hint="default" w:ascii="宋体" w:hAnsi="宋体" w:eastAsia="宋体" w:cs="宋体"/>
          <w:kern w:val="2"/>
          <w:sz w:val="24"/>
          <w:szCs w:val="24"/>
          <w:lang w:val="en-US" w:eastAsia="zh-CN" w:bidi="ar-SA"/>
        </w:rPr>
        <w:t>试用期不交社保的逻辑是“还不是正式员工”。“自愿放弃承诺书”的逻辑是“员工自己写的，不是我逼的”。“社保补贴代替缴费”的逻辑是“钱已经给了，不算亏待”。这三种逻辑在法律上全部不成立——《社会保险法》第五十八条写得很清楚：用人单位应当自用工之日起三十日内为职工办理社保登记。“用工之日”起算，与试用期无关。“自愿放弃”承诺书在法律上一律无效——社会保险的强制性不允许以“双方合意”来规避。“补贴代缴”同样违法，因为社保缴费不仅是劳动者的权益，也是用人单位对社保基金的法定义务。</w:t>
      </w:r>
    </w:p>
    <w:p w14:paraId="0DCA537E">
      <w:pPr>
        <w:rPr>
          <w:rFonts w:hint="eastAsia"/>
        </w:rPr>
      </w:pPr>
    </w:p>
    <w:p w14:paraId="33F3FF37">
      <w:pPr>
        <w:rPr>
          <w:rFonts w:hint="eastAsia"/>
        </w:rPr>
      </w:pPr>
      <w:r>
        <w:rPr>
          <w:rFonts w:hint="default" w:ascii="宋体" w:hAnsi="宋体" w:eastAsia="宋体" w:cs="宋体"/>
          <w:kern w:val="2"/>
          <w:sz w:val="24"/>
          <w:szCs w:val="24"/>
          <w:lang w:val="en-US" w:eastAsia="zh-CN" w:bidi="ar-SA"/>
        </w:rPr>
        <w:t>这些“行业惯例”能够在长达十余年的时间里普遍存在，说明问题不在于法律没有规定，而在于法律的规定没有形成有效的约束力。当一个行业的多数企业都在做同一件违法的事而极少被追究时，违法行为就被“正常化”了。</w:t>
      </w:r>
    </w:p>
    <w:p w14:paraId="2516723B">
      <w:pPr>
        <w:rPr>
          <w:rFonts w:hint="eastAsia"/>
        </w:rPr>
      </w:pPr>
    </w:p>
    <w:p w14:paraId="07E03B1C">
      <w:pPr>
        <w:rPr>
          <w:rFonts w:hint="eastAsia"/>
        </w:rPr>
      </w:pPr>
      <w:r>
        <w:rPr>
          <w:rFonts w:hint="eastAsia" w:ascii="黑体" w:hAnsi="宋体" w:eastAsia="黑体" w:cs="黑体"/>
          <w:kern w:val="2"/>
          <w:sz w:val="30"/>
          <w:szCs w:val="24"/>
          <w:lang w:val="en-US" w:eastAsia="zh-CN" w:bidi="ar-SA"/>
        </w:rPr>
        <w:t xml:space="preserve"> 3.2 严查的本质：把旧规定变成真约束</w:t>
      </w:r>
    </w:p>
    <w:p w14:paraId="3B9618E6">
      <w:pPr>
        <w:rPr>
          <w:rFonts w:hint="eastAsia"/>
        </w:rPr>
      </w:pPr>
    </w:p>
    <w:p w14:paraId="4E32E509">
      <w:pPr>
        <w:rPr>
          <w:rFonts w:hint="eastAsia"/>
        </w:rPr>
      </w:pPr>
      <w:r>
        <w:rPr>
          <w:rFonts w:hint="default" w:ascii="宋体" w:hAnsi="宋体" w:eastAsia="宋体" w:cs="宋体"/>
          <w:kern w:val="2"/>
          <w:sz w:val="24"/>
          <w:szCs w:val="24"/>
          <w:lang w:val="en-US" w:eastAsia="zh-CN" w:bidi="ar-SA"/>
        </w:rPr>
        <w:t>本轮社保严查的本质，因而不是“出新规”，而是“查旧账”。其制度逻辑可以概括为：将已有的法律规范从“纸面约束”转化为“实践约束”。</w:t>
      </w:r>
    </w:p>
    <w:p w14:paraId="391A9824">
      <w:pPr>
        <w:rPr>
          <w:rFonts w:hint="eastAsia"/>
        </w:rPr>
      </w:pPr>
    </w:p>
    <w:p w14:paraId="630CE3DE">
      <w:pPr>
        <w:rPr>
          <w:rFonts w:hint="eastAsia"/>
        </w:rPr>
      </w:pPr>
      <w:r>
        <w:rPr>
          <w:rFonts w:hint="default" w:ascii="宋体" w:hAnsi="宋体" w:eastAsia="宋体" w:cs="宋体"/>
          <w:kern w:val="2"/>
          <w:sz w:val="24"/>
          <w:szCs w:val="24"/>
          <w:lang w:val="en-US" w:eastAsia="zh-CN" w:bidi="ar-SA"/>
        </w:rPr>
        <w:t>这一转化的核心机制是执法成本的重新分配。在“纸面约束”状态下，法律规定了企业的社保缴纳义务，但违法的发现和追查成本主要由劳动者承担——员工需要自行向劳动监察部门投诉举报，自行提供证据，自行跟进处理进展。对于处于弱势地位的劳动者而言，维权意味着与雇主直接对抗，意味着可能失去工作，意味着需要投入大量时间精力。许多劳动者在理性权衡后选择了沉默，而这种沉默进一步强化了企业“不交社保也没事”的侥幸预期。</w:t>
      </w:r>
    </w:p>
    <w:p w14:paraId="20E640BA">
      <w:pPr>
        <w:rPr>
          <w:rFonts w:hint="eastAsia"/>
        </w:rPr>
      </w:pPr>
    </w:p>
    <w:p w14:paraId="217EF73F">
      <w:pPr>
        <w:rPr>
          <w:rFonts w:hint="eastAsia"/>
        </w:rPr>
      </w:pPr>
      <w:r>
        <w:rPr>
          <w:rFonts w:hint="default" w:ascii="宋体" w:hAnsi="宋体" w:eastAsia="宋体" w:cs="宋体"/>
          <w:kern w:val="2"/>
          <w:sz w:val="24"/>
          <w:szCs w:val="24"/>
          <w:lang w:val="en-US" w:eastAsia="zh-CN" w:bidi="ar-SA"/>
        </w:rPr>
        <w:t>本轮严查通过行政力量主动介入，将执法启动成本从劳动者转移到了执法部门。人社部门的专项检查不再主要依赖投诉举报，而是主动稽核企业的社保缴纳记录。一旦查实欠缴，企业面临的不再仅仅是“补缴+滞纳金”的经济成本——在联合惩戒机制下，社保领域的失信行为将被推送至全国信用信息共享平台，触发34项联合惩戒：招投标资格被取消，银行贷款被冻结，乘坐飞机高铁受限，子女考公参军政审受影响。这种“一处失信、处处受限”的制度设计，将违规成本从单一的经济处罚扩展为对企业主全方位的经济社会活动限制。</w:t>
      </w:r>
    </w:p>
    <w:p w14:paraId="28D6E08A">
      <w:pPr>
        <w:rPr>
          <w:rFonts w:hint="eastAsia"/>
        </w:rPr>
      </w:pPr>
    </w:p>
    <w:p w14:paraId="354E20CE">
      <w:pPr>
        <w:rPr>
          <w:rFonts w:hint="eastAsia" w:ascii="黑体" w:hAnsi="宋体" w:eastAsia="黑体" w:cs="黑体"/>
          <w:kern w:val="2"/>
          <w:sz w:val="30"/>
          <w:szCs w:val="24"/>
          <w:lang w:val="en-US" w:eastAsia="zh-CN" w:bidi="ar-SA"/>
        </w:rPr>
      </w:pPr>
      <w:bookmarkStart w:id="0" w:name="_GoBack"/>
      <w:r>
        <w:rPr>
          <w:rFonts w:hint="eastAsia" w:ascii="黑体" w:hAnsi="宋体" w:eastAsia="黑体" w:cs="黑体"/>
          <w:kern w:val="2"/>
          <w:sz w:val="30"/>
          <w:szCs w:val="24"/>
          <w:lang w:val="en-US" w:eastAsia="zh-CN" w:bidi="ar-SA"/>
        </w:rPr>
        <w:t xml:space="preserve"> 3.3 制度信号的“一锤定音”</w:t>
      </w:r>
    </w:p>
    <w:bookmarkEnd w:id="0"/>
    <w:p w14:paraId="17A0FD15">
      <w:pPr>
        <w:rPr>
          <w:rFonts w:hint="eastAsia"/>
        </w:rPr>
      </w:pPr>
    </w:p>
    <w:p w14:paraId="682E6ADD">
      <w:pPr>
        <w:rPr>
          <w:rFonts w:hint="eastAsia"/>
        </w:rPr>
      </w:pPr>
      <w:r>
        <w:rPr>
          <w:rFonts w:hint="default" w:ascii="宋体" w:hAnsi="宋体" w:eastAsia="宋体" w:cs="宋体"/>
          <w:kern w:val="2"/>
          <w:sz w:val="24"/>
          <w:szCs w:val="24"/>
          <w:lang w:val="en-US" w:eastAsia="zh-CN" w:bidi="ar-SA"/>
        </w:rPr>
        <w:t>“员工自愿放弃社保承诺书无效”的声明，不是一个新规定，而是一次制度信号的“一锤定音”。同样的法律结论在过去也曾经以各种方式被传达过，但从未以如此明确和集中的方式被重申。当一个被广泛使用的避法工具被权威部门明确宣告“一律无效”，它对于行业内潜规则的打击是釜底抽薪式的——企业失去了继续使用这套说辞来搪塞员工和应付检查的借口，劳动者也获得了拒绝签署此类协议的直接法律依据。</w:t>
      </w:r>
    </w:p>
    <w:p w14:paraId="7BD01FFF">
      <w:pPr>
        <w:rPr>
          <w:rFonts w:hint="eastAsia"/>
        </w:rPr>
      </w:pPr>
    </w:p>
    <w:p w14:paraId="38CE7DEE">
      <w:pPr>
        <w:rPr>
          <w:rFonts w:hint="eastAsia"/>
        </w:rPr>
      </w:pPr>
    </w:p>
    <w:p w14:paraId="38F43567">
      <w:pPr>
        <w:rPr>
          <w:rFonts w:hint="eastAsia"/>
        </w:rPr>
      </w:pPr>
      <w:r>
        <w:rPr>
          <w:rFonts w:hint="eastAsia" w:ascii="黑体" w:hAnsi="宋体" w:eastAsia="黑体" w:cs="黑体"/>
          <w:b/>
          <w:bCs/>
          <w:kern w:val="2"/>
          <w:sz w:val="32"/>
          <w:szCs w:val="24"/>
          <w:lang w:val="en-US" w:eastAsia="zh-CN" w:bidi="ar-SA"/>
        </w:rPr>
        <w:t xml:space="preserve"> 4 政治增压：巡视利剑下的执法激活</w:t>
      </w:r>
    </w:p>
    <w:p w14:paraId="2AE60CF5">
      <w:pPr>
        <w:rPr>
          <w:rFonts w:hint="eastAsia"/>
        </w:rPr>
      </w:pPr>
    </w:p>
    <w:p w14:paraId="79992C69">
      <w:pPr>
        <w:rPr>
          <w:rFonts w:hint="eastAsia"/>
        </w:rPr>
      </w:pPr>
      <w:r>
        <w:rPr>
          <w:rFonts w:hint="eastAsia" w:ascii="黑体" w:hAnsi="宋体" w:eastAsia="黑体" w:cs="黑体"/>
          <w:kern w:val="2"/>
          <w:sz w:val="30"/>
          <w:szCs w:val="24"/>
          <w:lang w:val="en-US" w:eastAsia="zh-CN" w:bidi="ar-SA"/>
        </w:rPr>
        <w:t xml:space="preserve"> 4.1 巡视进驻的制度含义</w:t>
      </w:r>
    </w:p>
    <w:p w14:paraId="7AE8B529">
      <w:pPr>
        <w:rPr>
          <w:rFonts w:hint="eastAsia"/>
        </w:rPr>
      </w:pPr>
    </w:p>
    <w:p w14:paraId="00E63395">
      <w:pPr>
        <w:rPr>
          <w:rFonts w:hint="eastAsia"/>
        </w:rPr>
      </w:pPr>
      <w:r>
        <w:rPr>
          <w:rFonts w:hint="default" w:ascii="宋体" w:hAnsi="宋体" w:eastAsia="宋体" w:cs="宋体"/>
          <w:kern w:val="2"/>
          <w:sz w:val="24"/>
          <w:szCs w:val="24"/>
          <w:lang w:val="en-US" w:eastAsia="zh-CN" w:bidi="ar-SA"/>
        </w:rPr>
        <w:t>2026年4月14日，二十届中央第七轮巡视启动，中央第十一巡视组进驻人力资源和社会保障部。巡视组组长在动员讲话中将巡视定位为“政治体检”，强调中央和国家机关是践行“两个维护”的第一方阵。人社部部长在表态发言中明确“牢记民生是最大的政治”。</w:t>
      </w:r>
    </w:p>
    <w:p w14:paraId="47A89467">
      <w:pPr>
        <w:rPr>
          <w:rFonts w:hint="eastAsia"/>
        </w:rPr>
      </w:pPr>
    </w:p>
    <w:p w14:paraId="16D6BA6E">
      <w:pPr>
        <w:rPr>
          <w:rFonts w:hint="eastAsia"/>
        </w:rPr>
      </w:pPr>
      <w:r>
        <w:rPr>
          <w:rFonts w:hint="default" w:ascii="宋体" w:hAnsi="宋体" w:eastAsia="宋体" w:cs="宋体"/>
          <w:kern w:val="2"/>
          <w:sz w:val="24"/>
          <w:szCs w:val="24"/>
          <w:lang w:val="en-US" w:eastAsia="zh-CN" w:bidi="ar-SA"/>
        </w:rPr>
        <w:t>这段看似程式化的政治话语，隐藏着理解本轮劳动执法力度升级的关键线索。中央巡视不是业务检查，而是政治监督。它不审查具体案件的办理质量，而是审查被巡视单位是否在“讲政治”的高度履行了法定职责。当“民生是最大的政治”这一表述被置于巡视框架下时，欠薪、欠保等劳动违法行为的治理就不再只是人社部门的日常业务工作，而被提升为检验“政治意识”的标尺。</w:t>
      </w:r>
    </w:p>
    <w:p w14:paraId="79417149">
      <w:pPr>
        <w:rPr>
          <w:rFonts w:hint="eastAsia"/>
        </w:rPr>
      </w:pPr>
    </w:p>
    <w:p w14:paraId="5FB3D546">
      <w:pPr>
        <w:rPr>
          <w:rFonts w:hint="eastAsia"/>
        </w:rPr>
      </w:pPr>
      <w:r>
        <w:rPr>
          <w:rFonts w:hint="default" w:ascii="宋体" w:hAnsi="宋体" w:eastAsia="宋体" w:cs="宋体"/>
          <w:kern w:val="2"/>
          <w:sz w:val="24"/>
          <w:szCs w:val="24"/>
          <w:lang w:val="en-US" w:eastAsia="zh-CN" w:bidi="ar-SA"/>
        </w:rPr>
        <w:t>这一政治逻辑在行政系统内产生的实际效果是：对于一线执法部门而言，严查劳动违法行为不再是一项可以根据执法资源和本地情况灵活把握的工作，而是一项具有高度政治敏感性、必须见实效的任务。巡视期间的执法数据、典型案例、追缴金额——这些数字将被纳入巡视组评价被巡视单位履职情况的依据。这种“政治增压”机制，是中国行政体系中推动制度从纸面走向地面的独特动员方式。</w:t>
      </w:r>
    </w:p>
    <w:p w14:paraId="5B4F624A">
      <w:pPr>
        <w:rPr>
          <w:rFonts w:hint="eastAsia"/>
        </w:rPr>
      </w:pPr>
    </w:p>
    <w:p w14:paraId="77401209">
      <w:pPr>
        <w:rPr>
          <w:rFonts w:hint="eastAsia"/>
        </w:rPr>
      </w:pPr>
      <w:r>
        <w:rPr>
          <w:rFonts w:hint="eastAsia" w:ascii="黑体" w:hAnsi="宋体" w:eastAsia="黑体" w:cs="黑体"/>
          <w:kern w:val="2"/>
          <w:sz w:val="30"/>
          <w:szCs w:val="24"/>
          <w:lang w:val="en-US" w:eastAsia="zh-CN" w:bidi="ar-SA"/>
        </w:rPr>
        <w:t xml:space="preserve"> 4.2 巡视覆盖社保全链条的特定意图</w:t>
      </w:r>
    </w:p>
    <w:p w14:paraId="7460AAA6">
      <w:pPr>
        <w:rPr>
          <w:rFonts w:hint="eastAsia"/>
        </w:rPr>
      </w:pPr>
    </w:p>
    <w:p w14:paraId="7E553C84">
      <w:pPr>
        <w:rPr>
          <w:rFonts w:hint="eastAsia"/>
        </w:rPr>
      </w:pPr>
      <w:r>
        <w:rPr>
          <w:rFonts w:hint="default" w:ascii="宋体" w:hAnsi="宋体" w:eastAsia="宋体" w:cs="宋体"/>
          <w:kern w:val="2"/>
          <w:sz w:val="24"/>
          <w:szCs w:val="24"/>
          <w:lang w:val="en-US" w:eastAsia="zh-CN" w:bidi="ar-SA"/>
        </w:rPr>
        <w:t>本轮巡视的一个特殊之处在于其覆盖范围——“穿透省市县三级，覆盖社保全链条”。这一定位表明，巡视的目标不仅是人社部本级，而是整个人社系统的纵向行政链条。</w:t>
      </w:r>
    </w:p>
    <w:p w14:paraId="0F827511">
      <w:pPr>
        <w:rPr>
          <w:rFonts w:hint="eastAsia"/>
        </w:rPr>
      </w:pPr>
    </w:p>
    <w:p w14:paraId="5BB1A50E">
      <w:pPr>
        <w:rPr>
          <w:rFonts w:hint="eastAsia"/>
        </w:rPr>
      </w:pPr>
      <w:r>
        <w:rPr>
          <w:rFonts w:hint="default" w:ascii="宋体" w:hAnsi="宋体" w:eastAsia="宋体" w:cs="宋体"/>
          <w:kern w:val="2"/>
          <w:sz w:val="24"/>
          <w:szCs w:val="24"/>
          <w:lang w:val="en-US" w:eastAsia="zh-CN" w:bidi="ar-SA"/>
        </w:rPr>
        <w:t>在社保领域的长期顽疾中，监管链条的“纵向断裂”是导致制度执行不力的重要原因。人社部出台的政策规定，在经过省、市、县三级行政传导后，可能出现执行衰减或偏差。省级人社部门的监管压力传导到市县层面时，地方人社部门在地方政府招商、税收、就业等综合考量下，可能对本地企业的社保违规行为采取适度宽容的态度。巡视“穿透三级”的制度设计，正是要切断这种行政链条上的执行衰减，将中央层面对劳动者权益保护的制度意志直接传导到政策执行的最末梢。</w:t>
      </w:r>
    </w:p>
    <w:p w14:paraId="4BDC14E5">
      <w:pPr>
        <w:rPr>
          <w:rFonts w:hint="eastAsia"/>
        </w:rPr>
      </w:pPr>
    </w:p>
    <w:p w14:paraId="28906F86">
      <w:pPr>
        <w:rPr>
          <w:rFonts w:hint="eastAsia"/>
        </w:rPr>
      </w:pPr>
    </w:p>
    <w:p w14:paraId="4E45AA00">
      <w:pPr>
        <w:rPr>
          <w:rFonts w:hint="eastAsia"/>
        </w:rPr>
      </w:pPr>
      <w:r>
        <w:rPr>
          <w:rFonts w:hint="eastAsia" w:ascii="黑体" w:hAnsi="宋体" w:eastAsia="黑体" w:cs="黑体"/>
          <w:b/>
          <w:bCs/>
          <w:kern w:val="2"/>
          <w:sz w:val="32"/>
          <w:szCs w:val="24"/>
          <w:lang w:val="en-US" w:eastAsia="zh-CN" w:bidi="ar-SA"/>
        </w:rPr>
        <w:t xml:space="preserve"> 5 结论：从“制度供给”到“制度激活”的范式转换</w:t>
      </w:r>
    </w:p>
    <w:p w14:paraId="102FA6CF">
      <w:pPr>
        <w:rPr>
          <w:rFonts w:hint="eastAsia"/>
        </w:rPr>
      </w:pPr>
    </w:p>
    <w:p w14:paraId="62545A05">
      <w:pPr>
        <w:rPr>
          <w:rFonts w:hint="eastAsia"/>
        </w:rPr>
      </w:pPr>
      <w:r>
        <w:rPr>
          <w:rFonts w:hint="default" w:ascii="宋体" w:hAnsi="宋体" w:eastAsia="宋体" w:cs="宋体"/>
          <w:kern w:val="2"/>
          <w:sz w:val="24"/>
          <w:szCs w:val="24"/>
          <w:lang w:val="en-US" w:eastAsia="zh-CN" w:bidi="ar-SA"/>
        </w:rPr>
        <w:t>中国劳动者权益保护的法律框架已经搭建了数十年。《劳动法》（1995年）确立了加班报酬标准，《刑法修正案（八）》（2011年）增设了拒不支付劳动报酬罪，《社会保险法》（2011年）规定了社保缴纳的强制性义务。这些法律文本共同构成了一张相当完整的劳动者权益保护之网。但长期以来，这张网在法律文本上是完整的，在执法实践中却存在多处漏洞。</w:t>
      </w:r>
    </w:p>
    <w:p w14:paraId="266476F3">
      <w:pPr>
        <w:rPr>
          <w:rFonts w:hint="eastAsia"/>
        </w:rPr>
      </w:pPr>
    </w:p>
    <w:p w14:paraId="0CE75490">
      <w:pPr>
        <w:rPr>
          <w:rFonts w:hint="eastAsia"/>
        </w:rPr>
      </w:pPr>
      <w:r>
        <w:rPr>
          <w:rFonts w:hint="default" w:ascii="宋体" w:hAnsi="宋体" w:eastAsia="宋体" w:cs="宋体"/>
          <w:kern w:val="2"/>
          <w:sz w:val="24"/>
          <w:szCs w:val="24"/>
          <w:lang w:val="en-US" w:eastAsia="zh-CN" w:bidi="ar-SA"/>
        </w:rPr>
        <w:t>本轮薪资社保严查的制度创新，不在于编织新的法律之网，而在于修补旧网的漏洞——通过司法解释为刑事追诉提供精确的量刑操作标准，通过行政与刑事执法的无缝对接打通追责通道，通过政治巡视的压力传导激活行政执法系统的内在动力，通过失信联合惩戒将单一罚款转化为全方位限制。这些措施共同指向一个目标：让已经存在的法律规范从“可以遵守”的柔性倡导，转变为“必须遵守”的刚性约束。</w:t>
      </w:r>
    </w:p>
    <w:p w14:paraId="3F4C2327">
      <w:pPr>
        <w:rPr>
          <w:rFonts w:hint="eastAsia"/>
        </w:rPr>
      </w:pPr>
    </w:p>
    <w:p w14:paraId="487BFA31">
      <w:pPr>
        <w:rPr>
          <w:rFonts w:hint="eastAsia"/>
        </w:rPr>
      </w:pPr>
      <w:r>
        <w:rPr>
          <w:rFonts w:hint="default" w:ascii="宋体" w:hAnsi="宋体" w:eastAsia="宋体" w:cs="宋体"/>
          <w:kern w:val="2"/>
          <w:sz w:val="24"/>
          <w:szCs w:val="24"/>
          <w:lang w:val="en-US" w:eastAsia="zh-CN" w:bidi="ar-SA"/>
        </w:rPr>
        <w:t>从更宏观的视角看，这一转变出现在一个特殊的历史节点上。AI对就业市场的结构性冲击正在从产业链上游向下游传导，“10万台机器人进工厂”的产业规划预示着人力替代的加速。当技术正在从“生产端”挤压劳动者议价能力时，制度从“分配端”为劳动者兜底保障——这不是两条独立新闻的偶然相遇，而是同一个历史时刻的一体两面。在“为技术松绑”的同时“为劳动者筑底”，构成了“十五五”开局之年劳动治理的核心张力。</w:t>
      </w:r>
    </w:p>
    <w:p w14:paraId="5DC5262E">
      <w:pPr>
        <w:rPr>
          <w:rFonts w:hint="eastAsia"/>
        </w:rPr>
      </w:pPr>
    </w:p>
    <w:p w14:paraId="267CAE00">
      <w:pPr>
        <w:rPr>
          <w:rFonts w:hint="eastAsia"/>
        </w:rPr>
      </w:pPr>
      <w:r>
        <w:rPr>
          <w:rFonts w:hint="default" w:ascii="宋体" w:hAnsi="宋体" w:eastAsia="宋体" w:cs="宋体"/>
          <w:kern w:val="2"/>
          <w:sz w:val="24"/>
          <w:szCs w:val="24"/>
          <w:lang w:val="en-US" w:eastAsia="zh-CN" w:bidi="ar-SA"/>
        </w:rPr>
        <w:t>制度激活是一场比制度供给更艰难的持久战。写出一部好的法律可能需要一两年，但让一部法律从纸面走到地面，需要持续的政治意志、稳定的执法资源和制度化的监督机制。本轮严查的意义不限于一时一地的执法风暴，更在于它正在探索一条“激活存量制度”的治理路径——在法律的框架已经搭建完毕的领域，未来的重点不是继续增加条款，而是让既有条款真正运转起来。这或许是中国劳动治理进入成熟期的最重要标志。</w:t>
      </w:r>
    </w:p>
    <w:p w14:paraId="603FB8A4">
      <w:pPr>
        <w:rPr>
          <w:rFonts w:hint="eastAsia"/>
        </w:rPr>
      </w:pPr>
    </w:p>
    <w:p w14:paraId="21C9F0FD">
      <w:pPr>
        <w:rPr>
          <w:rFonts w:hint="eastAsia"/>
        </w:rPr>
      </w:pPr>
    </w:p>
    <w:p w14:paraId="4E83E90C">
      <w:pPr>
        <w:rPr>
          <w:rFonts w:hint="eastAsia"/>
        </w:rPr>
      </w:pPr>
      <w:r>
        <w:rPr>
          <w:rFonts w:hint="eastAsia" w:ascii="黑体" w:hAnsi="宋体" w:eastAsia="黑体" w:cs="黑体"/>
          <w:b/>
          <w:bCs/>
          <w:kern w:val="2"/>
          <w:sz w:val="24"/>
          <w:szCs w:val="24"/>
          <w:lang w:val="en-US" w:eastAsia="zh-CN" w:bidi="ar-SA"/>
        </w:rPr>
        <w:t xml:space="preserve"> 参考文献</w:t>
      </w:r>
    </w:p>
    <w:p w14:paraId="7DBADA77">
      <w:pPr>
        <w:rPr>
          <w:rFonts w:hint="eastAsia"/>
        </w:rPr>
      </w:pPr>
    </w:p>
    <w:p w14:paraId="47810F6C">
      <w:pPr>
        <w:rPr>
          <w:rFonts w:hint="eastAsia"/>
        </w:rPr>
      </w:pPr>
      <w:r>
        <w:rPr>
          <w:rFonts w:hint="default" w:ascii="宋体" w:hAnsi="宋体" w:eastAsia="宋体" w:cs="宋体"/>
          <w:kern w:val="2"/>
          <w:sz w:val="24"/>
          <w:szCs w:val="24"/>
          <w:lang w:val="en-US" w:eastAsia="zh-CN" w:bidi="ar-SA"/>
        </w:rPr>
        <w:t>[1] 最高人民法院. 关于审理拒不支付劳动报酬刑事案件适用法律若干问题的解释[Z]. 2026.</w:t>
      </w:r>
    </w:p>
    <w:p w14:paraId="235E2E6E">
      <w:pPr>
        <w:rPr>
          <w:rFonts w:hint="eastAsia"/>
        </w:rPr>
      </w:pPr>
    </w:p>
    <w:p w14:paraId="0D465175">
      <w:pPr>
        <w:rPr>
          <w:rFonts w:hint="eastAsia"/>
        </w:rPr>
      </w:pPr>
      <w:r>
        <w:rPr>
          <w:rFonts w:hint="default" w:ascii="宋体" w:hAnsi="宋体" w:eastAsia="宋体" w:cs="宋体"/>
          <w:kern w:val="2"/>
          <w:sz w:val="24"/>
          <w:szCs w:val="24"/>
          <w:lang w:val="en-US" w:eastAsia="zh-CN" w:bidi="ar-SA"/>
        </w:rPr>
        <w:t>[2] 中华人民共和国刑法（第二百七十六条之一 拒不支付劳动报酬罪）[Z].</w:t>
      </w:r>
    </w:p>
    <w:p w14:paraId="4F4B4C0A">
      <w:pPr>
        <w:rPr>
          <w:rFonts w:hint="eastAsia"/>
        </w:rPr>
      </w:pPr>
    </w:p>
    <w:p w14:paraId="394C1AF1">
      <w:pPr>
        <w:rPr>
          <w:rFonts w:hint="eastAsia"/>
        </w:rPr>
      </w:pPr>
      <w:r>
        <w:rPr>
          <w:rFonts w:hint="default" w:ascii="宋体" w:hAnsi="宋体" w:eastAsia="宋体" w:cs="宋体"/>
          <w:kern w:val="2"/>
          <w:sz w:val="24"/>
          <w:szCs w:val="24"/>
          <w:lang w:val="en-US" w:eastAsia="zh-CN" w:bidi="ar-SA"/>
        </w:rPr>
        <w:t>[3] 最高人民法院. 最高人民法院负责人就“拒不支付劳动报酬罪”司法解释答记者问[EB/OL]. 2026-02-02.</w:t>
      </w:r>
    </w:p>
    <w:p w14:paraId="39250288">
      <w:pPr>
        <w:rPr>
          <w:rFonts w:hint="eastAsia"/>
        </w:rPr>
      </w:pPr>
    </w:p>
    <w:p w14:paraId="577464D7">
      <w:pPr>
        <w:rPr>
          <w:rFonts w:hint="eastAsia"/>
        </w:rPr>
      </w:pPr>
      <w:r>
        <w:rPr>
          <w:rFonts w:hint="default" w:ascii="宋体" w:hAnsi="宋体" w:eastAsia="宋体" w:cs="宋体"/>
          <w:kern w:val="2"/>
          <w:sz w:val="24"/>
          <w:szCs w:val="24"/>
          <w:lang w:val="en-US" w:eastAsia="zh-CN" w:bidi="ar-SA"/>
        </w:rPr>
        <w:t>[4] 中华人民共和国社会保险法（第五十八条）[Z]. 2011.</w:t>
      </w:r>
    </w:p>
    <w:p w14:paraId="70D2A84B">
      <w:pPr>
        <w:rPr>
          <w:rFonts w:hint="eastAsia"/>
        </w:rPr>
      </w:pPr>
    </w:p>
    <w:p w14:paraId="5903D941">
      <w:pPr>
        <w:rPr>
          <w:rFonts w:hint="eastAsia"/>
        </w:rPr>
      </w:pPr>
      <w:r>
        <w:rPr>
          <w:rFonts w:hint="default" w:ascii="宋体" w:hAnsi="宋体" w:eastAsia="宋体" w:cs="宋体"/>
          <w:kern w:val="2"/>
          <w:sz w:val="24"/>
          <w:szCs w:val="24"/>
          <w:lang w:val="en-US" w:eastAsia="zh-CN" w:bidi="ar-SA"/>
        </w:rPr>
        <w:t>[5] 人力资源社会保障部. 试用期必须为员工缴纳社保[EB/OL]. 2026-05-19.</w:t>
      </w:r>
    </w:p>
    <w:p w14:paraId="1F0C641F">
      <w:pPr>
        <w:rPr>
          <w:rFonts w:hint="eastAsia"/>
        </w:rPr>
      </w:pPr>
    </w:p>
    <w:p w14:paraId="502940AF">
      <w:pPr>
        <w:rPr>
          <w:rFonts w:hint="eastAsia"/>
        </w:rPr>
      </w:pPr>
      <w:r>
        <w:rPr>
          <w:rFonts w:hint="default" w:ascii="宋体" w:hAnsi="宋体" w:eastAsia="宋体" w:cs="宋体"/>
          <w:kern w:val="2"/>
          <w:sz w:val="24"/>
          <w:szCs w:val="24"/>
          <w:lang w:val="en-US" w:eastAsia="zh-CN" w:bidi="ar-SA"/>
        </w:rPr>
        <w:t>[6] 中央纪委国家监委网站. 中央第十一巡视组巡视人力资源和社会保障部党组工作动员会召开[EB/OL]. 2026-04-14.</w:t>
      </w:r>
    </w:p>
    <w:p w14:paraId="4512B42F">
      <w:pPr>
        <w:rPr>
          <w:rFonts w:hint="eastAsia"/>
        </w:rPr>
      </w:pPr>
    </w:p>
    <w:p w14:paraId="32C92132">
      <w:pPr>
        <w:rPr>
          <w:rFonts w:hint="eastAsia"/>
        </w:rPr>
      </w:pPr>
      <w:r>
        <w:rPr>
          <w:rFonts w:hint="default" w:ascii="宋体" w:hAnsi="宋体" w:eastAsia="宋体" w:cs="宋体"/>
          <w:kern w:val="2"/>
          <w:sz w:val="24"/>
          <w:szCs w:val="24"/>
          <w:lang w:val="en-US" w:eastAsia="zh-CN" w:bidi="ar-SA"/>
        </w:rPr>
        <w:t>[7] 中国网. 二十届中央第七轮巡视全面进驻[EB/OL]. 2026-04-16.</w:t>
      </w:r>
    </w:p>
    <w:p w14:paraId="313745C7">
      <w:pPr>
        <w:rPr>
          <w:rFonts w:hint="eastAsia"/>
        </w:rPr>
      </w:pPr>
    </w:p>
    <w:p w14:paraId="547D3BA1">
      <w:pPr>
        <w:rPr>
          <w:rFonts w:hint="eastAsia"/>
        </w:rPr>
      </w:pPr>
      <w:r>
        <w:rPr>
          <w:rFonts w:hint="default" w:ascii="宋体" w:hAnsi="宋体" w:eastAsia="宋体" w:cs="宋体"/>
          <w:kern w:val="2"/>
          <w:sz w:val="24"/>
          <w:szCs w:val="24"/>
          <w:lang w:val="en-US" w:eastAsia="zh-CN" w:bidi="ar-SA"/>
        </w:rPr>
        <w:t>[8] 新华网. 最高检：用人单位未及时足额缴纳社保将面临法律制裁[EB/OL]. 2026-04-28.</w:t>
      </w:r>
    </w:p>
    <w:p w14:paraId="1C62090D">
      <w:pPr>
        <w:rPr>
          <w:rFonts w:hint="eastAsia"/>
        </w:rPr>
      </w:pPr>
    </w:p>
    <w:p w14:paraId="0A3754AF">
      <w:pPr>
        <w:rPr>
          <w:rFonts w:hint="eastAsia"/>
        </w:rPr>
      </w:pPr>
      <w:r>
        <w:rPr>
          <w:rFonts w:hint="default" w:ascii="宋体" w:hAnsi="宋体" w:eastAsia="宋体" w:cs="宋体"/>
          <w:kern w:val="2"/>
          <w:sz w:val="24"/>
          <w:szCs w:val="24"/>
          <w:lang w:val="en-US" w:eastAsia="zh-CN" w:bidi="ar-SA"/>
        </w:rPr>
        <w:t>[9] 中华人民共和国劳动法（第四十四条）[Z]. 1995.</w:t>
      </w:r>
    </w:p>
    <w:p w14:paraId="19AB42B7">
      <w:pPr>
        <w:rPr>
          <w:rFonts w:hint="eastAsia"/>
        </w:rPr>
      </w:pPr>
    </w:p>
    <w:p w14:paraId="09570C14">
      <w:pPr>
        <w:rPr>
          <w:rFonts w:hint="eastAsia"/>
        </w:rPr>
      </w:pPr>
      <w:r>
        <w:rPr>
          <w:rFonts w:hint="default" w:ascii="宋体" w:hAnsi="宋体" w:eastAsia="宋体" w:cs="宋体"/>
          <w:kern w:val="2"/>
          <w:sz w:val="24"/>
          <w:szCs w:val="24"/>
          <w:lang w:val="en-US" w:eastAsia="zh-CN" w:bidi="ar-SA"/>
        </w:rPr>
        <w:t>[10] 人力资源社会保障部. 法定节假日加班不能用补休替代加班工资[EB/OL]. 2026-05-08.</w:t>
      </w:r>
    </w:p>
    <w:p w14:paraId="4D271C3B">
      <w:pPr>
        <w:rPr>
          <w:rFonts w:hint="eastAsia"/>
        </w:rPr>
      </w:pPr>
    </w:p>
    <w:p w14:paraId="0D1550D1">
      <w:r>
        <w:rPr>
          <w:rFonts w:hint="default" w:ascii="宋体" w:hAnsi="宋体" w:eastAsia="宋体" w:cs="宋体"/>
          <w:kern w:val="2"/>
          <w:sz w:val="24"/>
          <w:szCs w:val="24"/>
          <w:lang w:val="en-US" w:eastAsia="zh-CN" w:bidi="ar-SA"/>
        </w:rPr>
        <w:t>[11] 全国检察机关社会保障领域行政非诉执行监督案件数据[R]. 2026-03.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622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2026-05-24T08:55:14Z</dcterms:created>
  <dc:creator>永远健康</dc:creator>
  <cp:lastModifiedBy>WPS_1719835985</cp:lastModifiedBy>
  <dcterms:modified xsi:type="dcterms:W3CDTF">2026-05-24T09:01:23Z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5FBDA6D2493045D694152F9E11B1F43F_12</vt:lpwstr>
  </property>
</Properties>
</file>