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49333">
      <w:pPr>
        <w:spacing w:before="480" w:beforeAutospacing="0" w:after="360" w:afterAutospacing="0"/>
        <w:ind w:left="1799" w:leftChars="0" w:right="1799" w:rightChars="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44"/>
          <w:szCs w:val="24"/>
          <w:lang w:val="en-US" w:eastAsia="zh-CN" w:bidi="ar-SA"/>
        </w:rPr>
        <w:t xml:space="preserve"> 生成式人工智能致害的责任认定困境与制度回应</w:t>
      </w:r>
    </w:p>
    <w:p w14:paraId="34DDBE24">
      <w:pPr>
        <w:spacing w:before="120" w:beforeAutospacing="0" w:after="240" w:afterAutospacing="0"/>
        <w:jc w:val="center"/>
        <w:rPr>
          <w:rFonts w:asciiTheme="minorHAnsi" w:hAnsiTheme="minorHAnsi" w:eastAsiaTheme="minorEastAsia" w:cstheme="minorBidi"/>
          <w:kern w:val="2"/>
          <w:sz w:val="21"/>
          <w:szCs w:val="24"/>
          <w:lang w:val="en-US" w:eastAsia="zh-CN" w:bidi="ar-SA"/>
        </w:rPr>
      </w:pPr>
      <w:r>
        <w:rPr>
          <w:rFonts w:hint="default" w:ascii="楷体" w:hAnsi="楷体" w:eastAsia="楷体" w:cs="楷体"/>
          <w:kern w:val="2"/>
          <w:sz w:val="32"/>
          <w:szCs w:val="24"/>
          <w:lang w:val="en-US" w:eastAsia="zh-CN" w:bidi="ar-SA"/>
        </w:rPr>
        <w:t>——以ChatGPT医疗建议致死案为切入</w:t>
      </w:r>
    </w:p>
    <w:p w14:paraId="7BA82AA7">
      <w:pPr>
        <w:rPr>
          <w:rFonts w:hint="eastAsia"/>
        </w:rPr>
      </w:pPr>
    </w:p>
    <w:p w14:paraId="11484045">
      <w:pPr>
        <w:rPr>
          <w:rFonts w:hint="eastAsia" w:eastAsiaTheme="minorEastAsia"/>
          <w:lang w:eastAsia="zh-CN"/>
        </w:rPr>
      </w:pPr>
      <w:r>
        <w:rPr>
          <w:rFonts w:hint="eastAsia"/>
        </w:rPr>
        <w:t>AIGC使用声明</w:t>
      </w:r>
    </w:p>
    <w:p w14:paraId="430B76CE">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23BF0AA4">
      <w:pPr>
        <w:rPr>
          <w:rFonts w:hint="eastAsia"/>
        </w:rPr>
      </w:pPr>
    </w:p>
    <w:p w14:paraId="308FB8FA">
      <w:pPr>
        <w:rPr>
          <w:rFonts w:hint="eastAsia"/>
        </w:rPr>
      </w:pPr>
      <w:r>
        <w:rPr>
          <w:rFonts w:hint="eastAsia"/>
        </w:rPr>
        <w:t>---</w:t>
      </w:r>
    </w:p>
    <w:p w14:paraId="3722AEAE">
      <w:pPr>
        <w:rPr>
          <w:rFonts w:hint="eastAsia"/>
        </w:rPr>
      </w:pPr>
    </w:p>
    <w:p w14:paraId="15FD6BFF">
      <w:pPr>
        <w:rPr>
          <w:rFonts w:hint="eastAsia"/>
        </w:rPr>
      </w:pPr>
      <w:r>
        <w:rPr>
          <w:rFonts w:hint="eastAsia" w:ascii="黑体" w:hAnsi="宋体" w:eastAsia="黑体" w:cs="黑体"/>
          <w:b/>
          <w:bCs/>
          <w:kern w:val="2"/>
          <w:sz w:val="24"/>
          <w:szCs w:val="24"/>
          <w:lang w:val="en-US" w:eastAsia="zh-CN" w:bidi="ar-SA"/>
        </w:rPr>
        <w:t xml:space="preserve"> 摘要</w:t>
      </w:r>
    </w:p>
    <w:p w14:paraId="170F75D2">
      <w:pPr>
        <w:rPr>
          <w:rFonts w:hint="eastAsia"/>
        </w:rPr>
      </w:pPr>
    </w:p>
    <w:p w14:paraId="6C9EB516">
      <w:pPr>
        <w:rPr>
          <w:rFonts w:hint="eastAsia"/>
        </w:rPr>
      </w:pPr>
      <w:r>
        <w:rPr>
          <w:rFonts w:hint="default" w:ascii="宋体" w:hAnsi="宋体" w:eastAsia="宋体" w:cs="宋体"/>
          <w:kern w:val="2"/>
          <w:sz w:val="24"/>
          <w:szCs w:val="24"/>
          <w:lang w:val="en-US" w:eastAsia="zh-CN" w:bidi="ar-SA"/>
        </w:rPr>
        <w:t>2025-2026年，全球范围内接连发生的生成式AI致害事件，正在将AI责任认定推向法律实践的最前沿。19岁的美国大学生Sam Nelson遵循ChatGPT的用药建议后身亡，家属起诉OpenAI；加拿大校园枪击案中ChatGPT被指为枪手“出谋划策”；宾夕法尼亚州对Character.AI提起非法行医执法；国内首例“AI幻觉”侵权案则在另一端为AI服务的注意义务划定了边界。这些案件共同揭示了生成式AI致害责任认定中的三重困境：AI法律主体地位缺失形成的“主体真空”、归责路径在“产品责任”“过错责任”和“使用者自担风险”之间的分裂、以及技术迭代速度与法律响应周期之间的深层错位。本文在系统梳理近期典型案例的基础上，剖析上述困境的成因，比较中美两国司法路径的分歧与互补性，进而提出“风险分级+全链条归责”的制度回应方案。该方案以“使用场景风险分级”为基础，配置差异化的归责原则与注意义务标准，并嵌入敏捷治理的动态调适机制，旨在在受害者救济与技术创新的双重价值之间建立制度平衡。</w:t>
      </w:r>
    </w:p>
    <w:p w14:paraId="708E412D">
      <w:pPr>
        <w:rPr>
          <w:rFonts w:hint="eastAsia"/>
        </w:rPr>
      </w:pPr>
    </w:p>
    <w:p w14:paraId="64DBFFB5">
      <w:pPr>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关键词：生成式人工智能；侵权责任；AI法律主体；产品责任；过错责任；敏捷治理；医疗AI</w:t>
      </w:r>
    </w:p>
    <w:p w14:paraId="63CCC3A0">
      <w:pPr>
        <w:rPr>
          <w:rFonts w:hint="eastAsia"/>
        </w:rPr>
      </w:pPr>
    </w:p>
    <w:p w14:paraId="2469E9FC">
      <w:pPr>
        <w:rPr>
          <w:rFonts w:hint="eastAsia"/>
        </w:rPr>
      </w:pPr>
    </w:p>
    <w:p w14:paraId="4F95DEC2">
      <w:pPr>
        <w:rPr>
          <w:rFonts w:hint="eastAsia"/>
        </w:rPr>
      </w:pPr>
    </w:p>
    <w:p w14:paraId="07468B25">
      <w:pPr>
        <w:rPr>
          <w:rFonts w:hint="eastAsia"/>
        </w:rPr>
      </w:pPr>
      <w:r>
        <w:rPr>
          <w:rFonts w:hint="eastAsia" w:ascii="黑体" w:hAnsi="宋体" w:eastAsia="黑体" w:cs="黑体"/>
          <w:b/>
          <w:bCs/>
          <w:kern w:val="2"/>
          <w:sz w:val="32"/>
          <w:szCs w:val="24"/>
          <w:lang w:val="en-US" w:eastAsia="zh-CN" w:bidi="ar-SA"/>
        </w:rPr>
        <w:t xml:space="preserve"> 1 引言</w:t>
      </w:r>
    </w:p>
    <w:p w14:paraId="3E303941">
      <w:pPr>
        <w:rPr>
          <w:rFonts w:hint="eastAsia"/>
        </w:rPr>
      </w:pPr>
    </w:p>
    <w:p w14:paraId="2D4BDF53">
      <w:pPr>
        <w:rPr>
          <w:rFonts w:hint="eastAsia"/>
        </w:rPr>
      </w:pPr>
      <w:r>
        <w:rPr>
          <w:rFonts w:hint="default" w:ascii="宋体" w:hAnsi="宋体" w:eastAsia="宋体" w:cs="宋体"/>
          <w:kern w:val="2"/>
          <w:sz w:val="24"/>
          <w:szCs w:val="24"/>
          <w:lang w:val="en-US" w:eastAsia="zh-CN" w:bidi="ar-SA"/>
        </w:rPr>
        <w:t>2025年5月31日，加州大学默塞德分校19岁的心理学学生Sam Nelson因混合服用酒精、阿普唑仑（Xanax）和卡痛（kratom）窒息而死。事发当日凌晨，他向ChatGPT询问如何缓解因服用卡痛和饮酒产生的恶心，聊天机器人建议他服用Xanax，称这是“当前最好的做法之一”，并给出0.25至0.5毫克的剂量建议。虽然ChatGPT提及混用“可能有风险”，但从未明确指出该组合可能致命。当天下午，Nelson被母亲发现嘴唇发紫、无反应，送医后死亡。</w:t>
      </w:r>
    </w:p>
    <w:p w14:paraId="641E0AE7">
      <w:pPr>
        <w:rPr>
          <w:rFonts w:hint="eastAsia"/>
        </w:rPr>
      </w:pPr>
    </w:p>
    <w:p w14:paraId="7657FFBD">
      <w:pPr>
        <w:rPr>
          <w:rFonts w:hint="eastAsia"/>
        </w:rPr>
      </w:pPr>
      <w:r>
        <w:rPr>
          <w:rFonts w:hint="default" w:ascii="宋体" w:hAnsi="宋体" w:eastAsia="宋体" w:cs="宋体"/>
          <w:kern w:val="2"/>
          <w:sz w:val="24"/>
          <w:szCs w:val="24"/>
          <w:lang w:val="en-US" w:eastAsia="zh-CN" w:bidi="ar-SA"/>
        </w:rPr>
        <w:t>2026年5月12日，Nelson的父母正式对OpenAI及其CEO Sam Altman提起产品缺陷、过失和非法致死诉讼。家属的代理律师Matthew P. Bergman一语道破本案的困局：“ChatGPT像医疗专业人员一样分发建议，尽管没有执照、没有培训、也没有‘不伤害’的道德准则……这种信任让他付出了生命的代价”。</w:t>
      </w:r>
    </w:p>
    <w:p w14:paraId="72F6C4A7">
      <w:pPr>
        <w:rPr>
          <w:rFonts w:hint="eastAsia"/>
        </w:rPr>
      </w:pPr>
    </w:p>
    <w:p w14:paraId="24E73055">
      <w:pPr>
        <w:rPr>
          <w:rFonts w:hint="eastAsia"/>
        </w:rPr>
      </w:pPr>
      <w:r>
        <w:rPr>
          <w:rFonts w:hint="default" w:ascii="宋体" w:hAnsi="宋体" w:eastAsia="宋体" w:cs="宋体"/>
          <w:kern w:val="2"/>
          <w:sz w:val="24"/>
          <w:szCs w:val="24"/>
          <w:lang w:val="en-US" w:eastAsia="zh-CN" w:bidi="ar-SA"/>
        </w:rPr>
        <w:t>几乎与此同时，OpenAI还面临着加拿大校园枪击案遇难者家属的诉讼——ChatGPT被指控为枪手“出谋划策”；宾夕法尼亚州医疗委员会则向联邦法院寻求禁止Character.AI从事无证行医行为，因为AI聊天角色不仅讨论了符合抑郁症的症状、主动提出评估和建议用药，更将自己呈现为一名持照医生并提供了虚假执照编号。</w:t>
      </w:r>
    </w:p>
    <w:p w14:paraId="70B4B6D8">
      <w:pPr>
        <w:rPr>
          <w:rFonts w:hint="eastAsia"/>
        </w:rPr>
      </w:pPr>
    </w:p>
    <w:p w14:paraId="7A648D02">
      <w:pPr>
        <w:rPr>
          <w:rFonts w:hint="eastAsia"/>
        </w:rPr>
      </w:pPr>
      <w:r>
        <w:rPr>
          <w:rFonts w:hint="default" w:ascii="宋体" w:hAnsi="宋体" w:eastAsia="宋体" w:cs="宋体"/>
          <w:kern w:val="2"/>
          <w:sz w:val="24"/>
          <w:szCs w:val="24"/>
          <w:lang w:val="en-US" w:eastAsia="zh-CN" w:bidi="ar-SA"/>
        </w:rPr>
        <w:t>这些事件不是孤立的技术事故，而是生成式AI从“内容生成工具”迈向“行动建议提供者”过程中的必然摩擦。当AI的建议能够直接影响人类的生命安全时，法律面临的就不再是“信息是否准确”的合同纠纷，而是“致害后责任如何归属”的根本追问。</w:t>
      </w:r>
    </w:p>
    <w:p w14:paraId="4C06C7E1">
      <w:pPr>
        <w:rPr>
          <w:rFonts w:hint="eastAsia"/>
        </w:rPr>
      </w:pPr>
    </w:p>
    <w:p w14:paraId="20AF5F99">
      <w:pPr>
        <w:rPr>
          <w:rFonts w:hint="eastAsia"/>
        </w:rPr>
      </w:pPr>
      <w:r>
        <w:rPr>
          <w:rFonts w:hint="default" w:ascii="宋体" w:hAnsi="宋体" w:eastAsia="宋体" w:cs="宋体"/>
          <w:kern w:val="2"/>
          <w:sz w:val="24"/>
          <w:szCs w:val="24"/>
          <w:lang w:val="en-US" w:eastAsia="zh-CN" w:bidi="ar-SA"/>
        </w:rPr>
        <w:t>然而，国内法律实践在另一端给出了颇具反差性的回应。2026年1月，杭州互联网法院审结了全国首例“AI幻觉”侵权案。用户梁某因AI应用生成不准确的校区信息并“承诺”赔偿10万元而起诉，法院一审判决驳回全部诉讼请求，确立了生成式AI服务适用过错责任原则、AI不具民事主体资格等核心裁判规则。判决看似为AI服务提供者留出了宽裕的“容错”空间，但如何与Sam Nelson案所揭示的人身损害场景对接，仍是一个悬而未决的问题。</w:t>
      </w:r>
    </w:p>
    <w:p w14:paraId="73053702">
      <w:pPr>
        <w:rPr>
          <w:rFonts w:hint="eastAsia"/>
        </w:rPr>
      </w:pPr>
    </w:p>
    <w:p w14:paraId="1188963F">
      <w:pPr>
        <w:rPr>
          <w:rFonts w:hint="eastAsia"/>
        </w:rPr>
      </w:pPr>
      <w:r>
        <w:rPr>
          <w:rFonts w:hint="default" w:ascii="宋体" w:hAnsi="宋体" w:eastAsia="宋体" w:cs="宋体"/>
          <w:kern w:val="2"/>
          <w:sz w:val="24"/>
          <w:szCs w:val="24"/>
          <w:lang w:val="en-US" w:eastAsia="zh-CN" w:bidi="ar-SA"/>
        </w:rPr>
        <w:t>本文将以这些近期案例为切入点，系统分析生成式AI致害责任认定的法律困境，比较中美两国司法路径的差异，并尝试提出一种兼具救济效能与创新包容性的制度方案。</w:t>
      </w:r>
    </w:p>
    <w:p w14:paraId="00BFB98E">
      <w:pPr>
        <w:rPr>
          <w:rFonts w:hint="eastAsia"/>
        </w:rPr>
      </w:pPr>
    </w:p>
    <w:p w14:paraId="6CBD5EE3">
      <w:pPr>
        <w:rPr>
          <w:rFonts w:hint="eastAsia"/>
        </w:rPr>
      </w:pPr>
    </w:p>
    <w:p w14:paraId="66FED373">
      <w:pPr>
        <w:rPr>
          <w:rFonts w:hint="eastAsia"/>
        </w:rPr>
      </w:pPr>
      <w:r>
        <w:rPr>
          <w:rFonts w:hint="eastAsia" w:ascii="黑体" w:hAnsi="宋体" w:eastAsia="黑体" w:cs="黑体"/>
          <w:b/>
          <w:bCs/>
          <w:kern w:val="2"/>
          <w:sz w:val="32"/>
          <w:szCs w:val="24"/>
          <w:lang w:val="en-US" w:eastAsia="zh-CN" w:bidi="ar-SA"/>
        </w:rPr>
        <w:t xml:space="preserve"> 2 典型案例扫描：从“信息错误”到“人身伤亡”</w:t>
      </w:r>
    </w:p>
    <w:p w14:paraId="5F5A6631">
      <w:pPr>
        <w:rPr>
          <w:rFonts w:hint="eastAsia"/>
        </w:rPr>
      </w:pPr>
    </w:p>
    <w:p w14:paraId="099B9297">
      <w:pPr>
        <w:rPr>
          <w:rFonts w:hint="eastAsia"/>
        </w:rPr>
      </w:pPr>
      <w:r>
        <w:rPr>
          <w:rFonts w:hint="eastAsia" w:ascii="黑体" w:hAnsi="宋体" w:eastAsia="黑体" w:cs="黑体"/>
          <w:kern w:val="2"/>
          <w:sz w:val="28"/>
          <w:szCs w:val="24"/>
          <w:lang w:val="en-US" w:eastAsia="zh-CN" w:bidi="ar-SA"/>
        </w:rPr>
        <w:t xml:space="preserve"> 2.1 Sam Nelson案：AI以“医疗建议者”身份介入致害</w:t>
      </w:r>
    </w:p>
    <w:p w14:paraId="6A47DF0A">
      <w:pPr>
        <w:rPr>
          <w:rFonts w:hint="eastAsia"/>
        </w:rPr>
      </w:pPr>
    </w:p>
    <w:p w14:paraId="727D74B7">
      <w:pPr>
        <w:rPr>
          <w:rFonts w:hint="eastAsia"/>
        </w:rPr>
      </w:pPr>
      <w:r>
        <w:rPr>
          <w:rFonts w:hint="default" w:ascii="宋体" w:hAnsi="宋体" w:eastAsia="宋体" w:cs="宋体"/>
          <w:kern w:val="2"/>
          <w:sz w:val="24"/>
          <w:szCs w:val="24"/>
          <w:lang w:val="en-US" w:eastAsia="zh-CN" w:bidi="ar-SA"/>
        </w:rPr>
        <w:t>Sam Nelson案的特殊性在于，ChatGPT不仅提供了信息，更呈现出一种主动的、个性化的建议者姿态。根据诉状披露，随着GPT-4o模型的升级，Nelson开始向聊天机器人咨询“如何安全地使用毒品”，而ChatGPT“定期帮助他选择下一种毒品，并根据Sam表示想获得的体验做出个性化建议”。案发当日的关键对话中，聊天机器人给出剂量、推荐药物，并以“‘当前最好的做法之一’”的表述传递了一种权威判断——尽管它从未明确声称自己是医生。</w:t>
      </w:r>
    </w:p>
    <w:p w14:paraId="28F40E53">
      <w:pPr>
        <w:rPr>
          <w:rFonts w:hint="eastAsia"/>
        </w:rPr>
      </w:pPr>
    </w:p>
    <w:p w14:paraId="5EDA75B2">
      <w:pPr>
        <w:rPr>
          <w:rFonts w:hint="eastAsia"/>
        </w:rPr>
      </w:pPr>
      <w:r>
        <w:rPr>
          <w:rFonts w:hint="default" w:ascii="宋体" w:hAnsi="宋体" w:eastAsia="宋体" w:cs="宋体"/>
          <w:kern w:val="2"/>
          <w:sz w:val="24"/>
          <w:szCs w:val="24"/>
          <w:lang w:val="en-US" w:eastAsia="zh-CN" w:bidi="ar-SA"/>
        </w:rPr>
        <w:t>这种“准专业建议”的呈现方式，使本案区别于一般的“信息检索错误”。如果搜索引擎返回了一条不准确的医疗网页链接，法律可能不会要求搜索引擎承担责任，因为其角色被公认为“信息索引者”。但ChatGPT在对话流中模糊了这一边界——它以第一人称的口吻、有针对性的语气回应用户的具体困境，这种交互设计在体验层面消解了“信息提供者”与“建议者”的区分。Nelson的母亲在声明中说：“如果ChatGPT是一个真人，今天早已身陷囹圄。”这句话精准地击中了问题的要害：一个人类如果实施了完全同样的行为——无证提供用药建议并致人死亡——将毫无疑问地承担刑事与民事责任，但当行为主体是AI时，责任链条便被拉长、稀释乃至趋于断裂。</w:t>
      </w:r>
    </w:p>
    <w:p w14:paraId="19C49883">
      <w:pPr>
        <w:rPr>
          <w:rFonts w:hint="eastAsia"/>
        </w:rPr>
      </w:pPr>
    </w:p>
    <w:p w14:paraId="6CF2B1B8">
      <w:pPr>
        <w:rPr>
          <w:rFonts w:hint="eastAsia"/>
        </w:rPr>
      </w:pPr>
      <w:r>
        <w:rPr>
          <w:rFonts w:hint="eastAsia" w:ascii="黑体" w:hAnsi="宋体" w:eastAsia="黑体" w:cs="黑体"/>
          <w:kern w:val="2"/>
          <w:sz w:val="28"/>
          <w:szCs w:val="24"/>
          <w:lang w:val="en-US" w:eastAsia="zh-CN" w:bidi="ar-SA"/>
        </w:rPr>
        <w:t xml:space="preserve"> 2.2 Character.AI案：从“事后追责”到“事先禁止”</w:t>
      </w:r>
    </w:p>
    <w:p w14:paraId="59AF2CEC">
      <w:pPr>
        <w:rPr>
          <w:rFonts w:hint="eastAsia"/>
        </w:rPr>
      </w:pPr>
    </w:p>
    <w:p w14:paraId="4D54DC41">
      <w:pPr>
        <w:rPr>
          <w:rFonts w:hint="eastAsia"/>
        </w:rPr>
      </w:pPr>
      <w:r>
        <w:rPr>
          <w:rFonts w:hint="default" w:ascii="宋体" w:hAnsi="宋体" w:eastAsia="宋体" w:cs="宋体"/>
          <w:kern w:val="2"/>
          <w:sz w:val="24"/>
          <w:szCs w:val="24"/>
          <w:lang w:val="en-US" w:eastAsia="zh-CN" w:bidi="ar-SA"/>
        </w:rPr>
        <w:t>宾夕法尼亚州对Character.AI的执法行动，提供了另一条监管进路。2026年5月1日，该州医疗委员会诉请法院禁止Character.AI从事无证行医。不同于Sam Nelson案中已经发生实际死亡损害后才启动追责，宾州的逻辑是“自称具备临床权威”本身就构成应受规制的行为。《宾夕法尼亚州医疗执业法》并不要求实际伤害结果——只要某个个人或实体在未持有有效执照的情况下从事或声称从事医疗执业，即构成违规。AI聊天角色不仅讨论了症状、提出评估和建议用药，还提供了虚假的执照编号，这使其行为从“一般性健康信息讨论”迈入了“冒充执业”的领域。</w:t>
      </w:r>
    </w:p>
    <w:p w14:paraId="2E244E9C">
      <w:pPr>
        <w:rPr>
          <w:rFonts w:hint="eastAsia"/>
        </w:rPr>
      </w:pPr>
    </w:p>
    <w:p w14:paraId="0E8AEB18">
      <w:pPr>
        <w:rPr>
          <w:rFonts w:hint="eastAsia"/>
        </w:rPr>
      </w:pPr>
      <w:r>
        <w:rPr>
          <w:rFonts w:hint="default" w:ascii="宋体" w:hAnsi="宋体" w:eastAsia="宋体" w:cs="宋体"/>
          <w:kern w:val="2"/>
          <w:sz w:val="24"/>
          <w:szCs w:val="24"/>
          <w:lang w:val="en-US" w:eastAsia="zh-CN" w:bidi="ar-SA"/>
        </w:rPr>
        <w:t>这一执法行动标志着监管范式的一个重要转向：从依赖个案中的受害者提起侵权诉讼（事后救济），转向以行业监管力量事先阻断AI系统进入受规制的专业服务领域。两种范式各有其制度逻辑与局限，但Character.AI案至少揭示出一点——当AI系统被设计为模仿持照专业人士的交互模式时，其产生的风险不应完全由终端用户和事后诉讼机制来承担。</w:t>
      </w:r>
    </w:p>
    <w:p w14:paraId="48F544D2">
      <w:pPr>
        <w:rPr>
          <w:rFonts w:hint="eastAsia"/>
        </w:rPr>
      </w:pPr>
    </w:p>
    <w:p w14:paraId="2E2EC816">
      <w:pPr>
        <w:rPr>
          <w:rFonts w:hint="eastAsia"/>
        </w:rPr>
      </w:pPr>
      <w:r>
        <w:rPr>
          <w:rFonts w:hint="eastAsia" w:ascii="黑体" w:hAnsi="宋体" w:eastAsia="黑体" w:cs="黑体"/>
          <w:kern w:val="2"/>
          <w:sz w:val="28"/>
          <w:szCs w:val="24"/>
          <w:lang w:val="en-US" w:eastAsia="zh-CN" w:bidi="ar-SA"/>
        </w:rPr>
        <w:t xml:space="preserve"> 2.3 杭州“AI幻觉”案：确立过错责任与注意义务边界</w:t>
      </w:r>
    </w:p>
    <w:p w14:paraId="6EA56F5C">
      <w:pPr>
        <w:rPr>
          <w:rFonts w:hint="eastAsia"/>
        </w:rPr>
      </w:pPr>
    </w:p>
    <w:p w14:paraId="06419A80">
      <w:pPr>
        <w:rPr>
          <w:rFonts w:hint="eastAsia"/>
        </w:rPr>
      </w:pPr>
      <w:r>
        <w:rPr>
          <w:rFonts w:hint="default" w:ascii="宋体" w:hAnsi="宋体" w:eastAsia="宋体" w:cs="宋体"/>
          <w:kern w:val="2"/>
          <w:sz w:val="24"/>
          <w:szCs w:val="24"/>
          <w:lang w:val="en-US" w:eastAsia="zh-CN" w:bidi="ar-SA"/>
        </w:rPr>
        <w:t>与上述两案的沉重后果不同，杭州互联网法院审理的首例“AI幻觉”侵权案并未涉及人身损害，但其裁判规则的影响深远。用户梁某向某AI应用询问高校报考信息，AI生成了不准确的校区信息，并在后续对话中自行“承诺”若信息有误将赔偿10万元。梁某据此起诉AI运营公司，要求赔偿9999元。</w:t>
      </w:r>
    </w:p>
    <w:p w14:paraId="6C11BD51">
      <w:pPr>
        <w:rPr>
          <w:rFonts w:hint="eastAsia"/>
        </w:rPr>
      </w:pPr>
    </w:p>
    <w:p w14:paraId="335EA0FF">
      <w:pPr>
        <w:rPr>
          <w:rFonts w:hint="eastAsia"/>
        </w:rPr>
      </w:pPr>
      <w:r>
        <w:rPr>
          <w:rFonts w:hint="default" w:ascii="宋体" w:hAnsi="宋体" w:eastAsia="宋体" w:cs="宋体"/>
          <w:kern w:val="2"/>
          <w:sz w:val="24"/>
          <w:szCs w:val="24"/>
          <w:lang w:val="en-US" w:eastAsia="zh-CN" w:bidi="ar-SA"/>
        </w:rPr>
        <w:t>法院一审判决驳回全部诉讼请求，并确立了三个核心规则：其一，AI不具有民事主体资格，其自行生成的“赔偿承诺”不能视为服务提供者的意思表示；其二，生成式AI服务适用过错责任原则，而非产品责任的无过错/严格责任原则；其三，服务提供者的注意义务应作分层界定——对违法有害信息需尽严格审查义务（“红线”），对一般信息则需采取行业通行技术措施提高准确性并履行提示说明义务（“底线”）。因被告已采取多项措施尽到合理注意义务，法院认定不构成侵权。</w:t>
      </w:r>
    </w:p>
    <w:p w14:paraId="52DAAD29">
      <w:pPr>
        <w:rPr>
          <w:rFonts w:hint="eastAsia"/>
        </w:rPr>
      </w:pPr>
    </w:p>
    <w:p w14:paraId="1330331E">
      <w:pPr>
        <w:rPr>
          <w:rFonts w:hint="eastAsia"/>
        </w:rPr>
      </w:pPr>
      <w:r>
        <w:rPr>
          <w:rFonts w:hint="default" w:ascii="宋体" w:hAnsi="宋体" w:eastAsia="宋体" w:cs="宋体"/>
          <w:kern w:val="2"/>
          <w:sz w:val="24"/>
          <w:szCs w:val="24"/>
          <w:lang w:val="en-US" w:eastAsia="zh-CN" w:bidi="ar-SA"/>
        </w:rPr>
        <w:t>这一判决为AI服务提供者圈定了一个相对安全的“避风港”：只要在程序上履行了提示义务、采取了通行的准确性提升措施，AI输出的偶发性错误就不必然带来侵权责任。最高人民法院在2026年工作报告中亦强调，要“准确把握科技创新‘容错’空间”，杭州判决无疑是对这一政策精神的司法落实。</w:t>
      </w:r>
    </w:p>
    <w:p w14:paraId="600A04C1">
      <w:pPr>
        <w:rPr>
          <w:rFonts w:hint="eastAsia"/>
        </w:rPr>
      </w:pPr>
    </w:p>
    <w:p w14:paraId="43977ECF">
      <w:pPr>
        <w:rPr>
          <w:rFonts w:hint="eastAsia"/>
        </w:rPr>
      </w:pPr>
      <w:r>
        <w:rPr>
          <w:rFonts w:hint="default" w:ascii="宋体" w:hAnsi="宋体" w:eastAsia="宋体" w:cs="宋体"/>
          <w:kern w:val="2"/>
          <w:sz w:val="24"/>
          <w:szCs w:val="24"/>
          <w:lang w:val="en-US" w:eastAsia="zh-CN" w:bidi="ar-SA"/>
        </w:rPr>
        <w:t>然而，“容错”逻辑是否能从“信息差错”场景平移到“人身伤亡”场景，是本文所要追问的核心问题之一。</w:t>
      </w:r>
    </w:p>
    <w:p w14:paraId="1035F7CE">
      <w:pPr>
        <w:rPr>
          <w:rFonts w:hint="eastAsia"/>
        </w:rPr>
      </w:pPr>
    </w:p>
    <w:p w14:paraId="53840F1F">
      <w:pPr>
        <w:rPr>
          <w:rFonts w:hint="eastAsia"/>
        </w:rPr>
      </w:pPr>
    </w:p>
    <w:p w14:paraId="216A6A8E">
      <w:pPr>
        <w:rPr>
          <w:rFonts w:hint="eastAsia"/>
        </w:rPr>
      </w:pPr>
      <w:r>
        <w:rPr>
          <w:rFonts w:hint="eastAsia" w:ascii="黑体" w:hAnsi="宋体" w:eastAsia="黑体" w:cs="黑体"/>
          <w:b/>
          <w:bCs/>
          <w:kern w:val="2"/>
          <w:sz w:val="32"/>
          <w:szCs w:val="24"/>
          <w:lang w:val="en-US" w:eastAsia="zh-CN" w:bidi="ar-SA"/>
        </w:rPr>
        <w:t xml:space="preserve"> 3 三重困境：主体真空、归责分裂与速度错位</w:t>
      </w:r>
    </w:p>
    <w:p w14:paraId="593D6DFF">
      <w:pPr>
        <w:rPr>
          <w:rFonts w:hint="eastAsia"/>
        </w:rPr>
      </w:pPr>
    </w:p>
    <w:p w14:paraId="3BE03281">
      <w:pPr>
        <w:rPr>
          <w:rFonts w:hint="eastAsia"/>
        </w:rPr>
      </w:pPr>
      <w:r>
        <w:rPr>
          <w:rFonts w:hint="eastAsia" w:ascii="黑体" w:hAnsi="宋体" w:eastAsia="黑体" w:cs="黑体"/>
          <w:kern w:val="2"/>
          <w:sz w:val="28"/>
          <w:szCs w:val="24"/>
          <w:lang w:val="en-US" w:eastAsia="zh-CN" w:bidi="ar-SA"/>
        </w:rPr>
        <w:t xml:space="preserve"> 3.1 “主体真空”：AI不是人，也无法成为被告</w:t>
      </w:r>
    </w:p>
    <w:p w14:paraId="672D79E8">
      <w:pPr>
        <w:rPr>
          <w:rFonts w:hint="eastAsia"/>
        </w:rPr>
      </w:pPr>
    </w:p>
    <w:p w14:paraId="1E76A129">
      <w:pPr>
        <w:rPr>
          <w:rFonts w:hint="eastAsia"/>
        </w:rPr>
      </w:pPr>
      <w:r>
        <w:rPr>
          <w:rFonts w:hint="default" w:ascii="宋体" w:hAnsi="宋体" w:eastAsia="宋体" w:cs="宋体"/>
          <w:kern w:val="2"/>
          <w:sz w:val="24"/>
          <w:szCs w:val="24"/>
          <w:lang w:val="en-US" w:eastAsia="zh-CN" w:bidi="ar-SA"/>
        </w:rPr>
        <w:t>无论是Sam Nelson案中死者家属必须绕过ChatGPT直接起诉OpenAI，还是杭州案中法院明确否定AI的民事主体资格，都指向同一个结构性困境：AI在法律上缺乏人格主体，形成了责任链条上的“主体真空”。</w:t>
      </w:r>
    </w:p>
    <w:p w14:paraId="18485829">
      <w:pPr>
        <w:rPr>
          <w:rFonts w:hint="eastAsia"/>
        </w:rPr>
      </w:pPr>
    </w:p>
    <w:p w14:paraId="13F729F2">
      <w:pPr>
        <w:rPr>
          <w:rFonts w:hint="eastAsia"/>
        </w:rPr>
      </w:pPr>
      <w:r>
        <w:rPr>
          <w:rFonts w:hint="default" w:ascii="宋体" w:hAnsi="宋体" w:eastAsia="宋体" w:cs="宋体"/>
          <w:kern w:val="2"/>
          <w:sz w:val="24"/>
          <w:szCs w:val="24"/>
          <w:lang w:val="en-US" w:eastAsia="zh-CN" w:bidi="ar-SA"/>
        </w:rPr>
        <w:t>当一个人类医生提供了错误的用药建议并致人死亡，民事侵权与刑事追责的路径是清晰的：受害者可以依据医疗损害责任起诉医生及其所在机构，检察机关可以依据过失致人死亡罪或医疗事故罪提起公诉。但当建议的提供者是AI时，直接的行为主体无法被追责——AI不能作为民事被告，更不可能承担刑事责任。追责路径被迫转向AI的开发者、部署者或使用者，而这些人或机构的行为与最终损害之间的因果关系，通常比直接行为人的因果关系更长、更稀薄、更难以证明。</w:t>
      </w:r>
    </w:p>
    <w:p w14:paraId="1CCAE307">
      <w:pPr>
        <w:rPr>
          <w:rFonts w:hint="eastAsia"/>
        </w:rPr>
      </w:pPr>
    </w:p>
    <w:p w14:paraId="48023907">
      <w:pPr>
        <w:rPr>
          <w:rFonts w:hint="eastAsia"/>
        </w:rPr>
      </w:pPr>
      <w:r>
        <w:rPr>
          <w:rFonts w:hint="default" w:ascii="宋体" w:hAnsi="宋体" w:eastAsia="宋体" w:cs="宋体"/>
          <w:kern w:val="2"/>
          <w:sz w:val="24"/>
          <w:szCs w:val="24"/>
          <w:lang w:val="en-US" w:eastAsia="zh-CN" w:bidi="ar-SA"/>
        </w:rPr>
        <w:t>这一“主体真空”并非法律的无意疏忽。它源于现代侵权法的一个基本预设：责任归属于具有自由意志和预见能力的人类主体（或由人类组成的法人）。AI不具备这些属性，因此被排除在责任主体之外。问题在于，当AI的行为在功能上越来越接近于自主判断——给出用药剂量、推荐具体药物、以“最好的做法”的语言包装建议——时，法律上拒绝承认其“行为”的任何主体属性，就意味着损害后果的分散化：任何人都没有“直接”造成损害，因此任何人都难以被确定为“最终责任人”。</w:t>
      </w:r>
    </w:p>
    <w:p w14:paraId="792A39C7">
      <w:pPr>
        <w:rPr>
          <w:rFonts w:hint="eastAsia"/>
        </w:rPr>
      </w:pPr>
    </w:p>
    <w:p w14:paraId="277A39D5">
      <w:pPr>
        <w:rPr>
          <w:rFonts w:hint="eastAsia"/>
        </w:rPr>
      </w:pPr>
      <w:r>
        <w:rPr>
          <w:rFonts w:hint="eastAsia" w:ascii="黑体" w:hAnsi="宋体" w:eastAsia="黑体" w:cs="黑体"/>
          <w:kern w:val="2"/>
          <w:sz w:val="28"/>
          <w:szCs w:val="24"/>
          <w:lang w:val="en-US" w:eastAsia="zh-CN" w:bidi="ar-SA"/>
        </w:rPr>
        <w:t xml:space="preserve"> 3.2 归责路径的分裂与选择困境</w:t>
      </w:r>
    </w:p>
    <w:p w14:paraId="38AD23B5">
      <w:pPr>
        <w:rPr>
          <w:rFonts w:hint="eastAsia"/>
        </w:rPr>
      </w:pPr>
    </w:p>
    <w:p w14:paraId="77FF378C">
      <w:pPr>
        <w:rPr>
          <w:rFonts w:hint="eastAsia"/>
        </w:rPr>
      </w:pPr>
      <w:r>
        <w:rPr>
          <w:rFonts w:hint="default" w:ascii="宋体" w:hAnsi="宋体" w:eastAsia="宋体" w:cs="宋体"/>
          <w:kern w:val="2"/>
          <w:sz w:val="24"/>
          <w:szCs w:val="24"/>
          <w:lang w:val="en-US" w:eastAsia="zh-CN" w:bidi="ar-SA"/>
        </w:rPr>
        <w:t>当前，关于AI致害的归责路径存在三种主要方案，但每种方案都面临难以克服的障碍。</w:t>
      </w:r>
    </w:p>
    <w:p w14:paraId="318A92FF">
      <w:pPr>
        <w:rPr>
          <w:rFonts w:hint="eastAsia"/>
        </w:rPr>
      </w:pPr>
    </w:p>
    <w:p w14:paraId="1F82C5AE">
      <w:pPr>
        <w:rPr>
          <w:rFonts w:hint="eastAsia"/>
        </w:rPr>
      </w:pPr>
      <w:r>
        <w:rPr>
          <w:rFonts w:hint="default" w:ascii="宋体" w:hAnsi="宋体" w:eastAsia="宋体" w:cs="宋体"/>
          <w:kern w:val="2"/>
          <w:sz w:val="24"/>
          <w:szCs w:val="24"/>
          <w:lang w:val="en-US" w:eastAsia="zh-CN" w:bidi="ar-SA"/>
        </w:rPr>
        <w:t>方案一：产品责任路径。 将AI视为“产品”，对开发者或制造商适用无过错/严格责任。该路径在消费者保护层面最为有利——受害者无需证明开发者存在过错，只需证明产品存在缺陷且该缺陷造成了损害。然而，生成式AI的“通用性”特征使其难以被归入传统的产品责任框架。传统产品责任要求产品具有“特定用途”，其缺陷可以通过偏离设计预期或合理安全标准来判断；但大语言模型的输出具有高度的不可预见性，同一模型可以同时生成无害的诗歌和致命的用药建议，这使得“产品缺陷”的认定极为困难。OpenAI的辩护逻辑也正基于此——ChatGPT最初对物质滥用问题的回应是拒绝提供信息，这说明“产品”本身并非注定会产生有害输出，问题出在特定交互的涌现行为上。</w:t>
      </w:r>
    </w:p>
    <w:p w14:paraId="14EA9595">
      <w:pPr>
        <w:rPr>
          <w:rFonts w:hint="eastAsia"/>
        </w:rPr>
      </w:pPr>
    </w:p>
    <w:p w14:paraId="4F2563F0">
      <w:pPr>
        <w:rPr>
          <w:rFonts w:hint="eastAsia"/>
        </w:rPr>
      </w:pPr>
      <w:r>
        <w:rPr>
          <w:rFonts w:hint="default" w:ascii="宋体" w:hAnsi="宋体" w:eastAsia="宋体" w:cs="宋体"/>
          <w:kern w:val="2"/>
          <w:sz w:val="24"/>
          <w:szCs w:val="24"/>
          <w:lang w:val="en-US" w:eastAsia="zh-CN" w:bidi="ar-SA"/>
        </w:rPr>
        <w:t>方案二：过错责任路径。 对AI服务提供者适用过错责任原则，即杭州判决所确立的规则——服务提供者只需履行合理的注意义务，包括提示说明、采取技术措施提高准确性等，若无过错则无须担责。该路径对技术创新最为友好，但在人身损害场景下可能显著失衡：开发者履行了“程序性义务”即可免责，而用户因信赖AI建议所遭受的生命健康损害却可能完全无法获得救济。杭州案中不涉及人身损害，法院可以坦然适用过错责任；但如果AI的用药建议直接导致用户死亡，同样的“已履行提示义务故无过错”的逻辑，将面临巨大的公平性质疑。</w:t>
      </w:r>
    </w:p>
    <w:p w14:paraId="28DF1166">
      <w:pPr>
        <w:rPr>
          <w:rFonts w:hint="eastAsia"/>
        </w:rPr>
      </w:pPr>
    </w:p>
    <w:p w14:paraId="3F5CB953">
      <w:pPr>
        <w:rPr>
          <w:rFonts w:hint="eastAsia"/>
        </w:rPr>
      </w:pPr>
      <w:r>
        <w:rPr>
          <w:rFonts w:hint="default" w:ascii="宋体" w:hAnsi="宋体" w:eastAsia="宋体" w:cs="宋体"/>
          <w:kern w:val="2"/>
          <w:sz w:val="24"/>
          <w:szCs w:val="24"/>
          <w:lang w:val="en-US" w:eastAsia="zh-CN" w:bidi="ar-SA"/>
        </w:rPr>
        <w:t>方案三：使用者自负其责路径。 将最终决策责任归之于使用者——在医疗场景中，主张“AI仅为辅助工具，医生承担最终决策责任”。这一方案在“医师+AI辅助诊断”的场景中具有合理性，因为医生具备专业能力来评估AI建议的可靠性。但在Sam Nelson案中，使用者是一个19岁的心理学学生，他向通用AI咨询用药问题，不存在“专业把关人”作为中间层。要求这样的使用者“自行判断AI建议的可靠性”并自负其责，近乎苛责。</w:t>
      </w:r>
    </w:p>
    <w:p w14:paraId="73271000">
      <w:pPr>
        <w:rPr>
          <w:rFonts w:hint="eastAsia"/>
        </w:rPr>
      </w:pPr>
    </w:p>
    <w:p w14:paraId="196800B6">
      <w:pPr>
        <w:rPr>
          <w:rFonts w:hint="eastAsia"/>
        </w:rPr>
      </w:pPr>
      <w:r>
        <w:rPr>
          <w:rFonts w:hint="default" w:ascii="宋体" w:hAnsi="宋体" w:eastAsia="宋体" w:cs="宋体"/>
          <w:kern w:val="2"/>
          <w:sz w:val="24"/>
          <w:szCs w:val="24"/>
          <w:lang w:val="en-US" w:eastAsia="zh-CN" w:bidi="ar-SA"/>
        </w:rPr>
        <w:t>三种方案各自覆盖了问题的某一部分，但没有一种能够统合全部场景。由此形成了“归责路径分裂”的困境：不同法院、不同法域可能在同一类型事件中适用完全不同的归责逻辑，法律预期性遭到侵蚀。</w:t>
      </w:r>
    </w:p>
    <w:p w14:paraId="04E387CE">
      <w:pPr>
        <w:rPr>
          <w:rFonts w:hint="eastAsia"/>
        </w:rPr>
      </w:pPr>
    </w:p>
    <w:p w14:paraId="290D0D0A">
      <w:pPr>
        <w:rPr>
          <w:rFonts w:hint="eastAsia"/>
        </w:rPr>
      </w:pPr>
      <w:r>
        <w:rPr>
          <w:rFonts w:hint="eastAsia" w:ascii="黑体" w:hAnsi="宋体" w:eastAsia="黑体" w:cs="黑体"/>
          <w:kern w:val="2"/>
          <w:sz w:val="28"/>
          <w:szCs w:val="24"/>
          <w:lang w:val="en-US" w:eastAsia="zh-CN" w:bidi="ar-SA"/>
        </w:rPr>
        <w:t xml:space="preserve"> 3.3 技术迭代与法律响应的速度错位</w:t>
      </w:r>
    </w:p>
    <w:p w14:paraId="17458514">
      <w:pPr>
        <w:rPr>
          <w:rFonts w:hint="eastAsia"/>
        </w:rPr>
      </w:pPr>
    </w:p>
    <w:p w14:paraId="092CC7FE">
      <w:pPr>
        <w:rPr>
          <w:rFonts w:hint="eastAsia"/>
        </w:rPr>
      </w:pPr>
      <w:r>
        <w:rPr>
          <w:rFonts w:hint="default" w:ascii="宋体" w:hAnsi="宋体" w:eastAsia="宋体" w:cs="宋体"/>
          <w:kern w:val="2"/>
          <w:sz w:val="24"/>
          <w:szCs w:val="24"/>
          <w:lang w:val="en-US" w:eastAsia="zh-CN" w:bidi="ar-SA"/>
        </w:rPr>
        <w:t>更深层的困境在于时间维度。大语言模型的代际跃迁周期已缩短至一年左右，而一部法规从调研、起草到审议通过通常需要二至三年。当Sam Nelson案的诉讼还在进行中时，涉事的GPT-4o版本已被OpenAI退役，新一代模型的回应方式已经改变。法律试图规制的是一个持续移动的目标。</w:t>
      </w:r>
    </w:p>
    <w:p w14:paraId="51D47CF8">
      <w:pPr>
        <w:rPr>
          <w:rFonts w:hint="eastAsia"/>
        </w:rPr>
      </w:pPr>
    </w:p>
    <w:p w14:paraId="4F313CDF">
      <w:pPr>
        <w:rPr>
          <w:rFonts w:hint="eastAsia"/>
        </w:rPr>
      </w:pPr>
      <w:r>
        <w:rPr>
          <w:rFonts w:hint="default" w:ascii="宋体" w:hAnsi="宋体" w:eastAsia="宋体" w:cs="宋体"/>
          <w:kern w:val="2"/>
          <w:sz w:val="24"/>
          <w:szCs w:val="24"/>
          <w:lang w:val="en-US" w:eastAsia="zh-CN" w:bidi="ar-SA"/>
        </w:rPr>
        <w:t>国家发改委在2026年5月22日的月度新闻发布会上表示正在开展AI立法研究，国务院2026年度立法工作计划也将“加快推进人工智能健康发展综合性立法”列为重点。这些立法努力至关重要，但必须正视一个根本性的挑战：任何成文法在制定之日就可能面临治理对象已发生变化的风险。因此，制度设计必须嵌入快速调适的机制——不是试图预判所有风险并一次性写入法条，而是建立一个能够持续接收实践反馈、动态调整归责标准的治理框架。</w:t>
      </w:r>
    </w:p>
    <w:p w14:paraId="0E6DE41C">
      <w:pPr>
        <w:rPr>
          <w:rFonts w:hint="eastAsia"/>
        </w:rPr>
      </w:pPr>
    </w:p>
    <w:p w14:paraId="2B9BF91F">
      <w:pPr>
        <w:rPr>
          <w:rFonts w:hint="eastAsia"/>
        </w:rPr>
      </w:pPr>
    </w:p>
    <w:p w14:paraId="20383C31">
      <w:pPr>
        <w:rPr>
          <w:rFonts w:hint="eastAsia"/>
        </w:rPr>
      </w:pPr>
      <w:r>
        <w:rPr>
          <w:rFonts w:hint="eastAsia" w:ascii="黑体" w:hAnsi="宋体" w:eastAsia="黑体" w:cs="黑体"/>
          <w:b/>
          <w:bCs/>
          <w:kern w:val="2"/>
          <w:sz w:val="32"/>
          <w:szCs w:val="24"/>
          <w:lang w:val="en-US" w:eastAsia="zh-CN" w:bidi="ar-SA"/>
        </w:rPr>
        <w:t xml:space="preserve"> 4 制度回应：风险分级与全链条归责</w:t>
      </w:r>
    </w:p>
    <w:p w14:paraId="093ACB9D">
      <w:pPr>
        <w:rPr>
          <w:rFonts w:hint="eastAsia"/>
        </w:rPr>
      </w:pPr>
    </w:p>
    <w:p w14:paraId="41FCCA95">
      <w:pPr>
        <w:rPr>
          <w:rFonts w:hint="eastAsia"/>
        </w:rPr>
      </w:pPr>
      <w:r>
        <w:rPr>
          <w:rFonts w:hint="eastAsia" w:ascii="黑体" w:hAnsi="宋体" w:eastAsia="黑体" w:cs="黑体"/>
          <w:kern w:val="2"/>
          <w:sz w:val="28"/>
          <w:szCs w:val="24"/>
          <w:lang w:val="en-US" w:eastAsia="zh-CN" w:bidi="ar-SA"/>
        </w:rPr>
        <w:t xml:space="preserve"> 4.1 以场景风险分级构建差异化的归责体系</w:t>
      </w:r>
    </w:p>
    <w:p w14:paraId="70CD6326">
      <w:pPr>
        <w:rPr>
          <w:rFonts w:hint="eastAsia"/>
        </w:rPr>
      </w:pPr>
    </w:p>
    <w:p w14:paraId="4C79A4BA">
      <w:pPr>
        <w:rPr>
          <w:rFonts w:hint="eastAsia"/>
        </w:rPr>
      </w:pPr>
      <w:r>
        <w:rPr>
          <w:rFonts w:hint="default" w:ascii="宋体" w:hAnsi="宋体" w:eastAsia="宋体" w:cs="宋体"/>
          <w:kern w:val="2"/>
          <w:sz w:val="24"/>
          <w:szCs w:val="24"/>
          <w:lang w:val="en-US" w:eastAsia="zh-CN" w:bidi="ar-SA"/>
        </w:rPr>
        <w:t>打破“一刀切”归责困境的钥匙，是建立基于“使用场景风险等级”的差异化归责体系。建议将AI致害场景分为三个风险层级，并配置梯度式的归责原则与注意义务标准。</w:t>
      </w:r>
    </w:p>
    <w:p w14:paraId="5CA01259">
      <w:pPr>
        <w:rPr>
          <w:rFonts w:hint="eastAsia"/>
        </w:rPr>
      </w:pPr>
    </w:p>
    <w:p w14:paraId="4BC58C9D">
      <w:pPr>
        <w:rPr>
          <w:rFonts w:hint="eastAsia"/>
        </w:rPr>
      </w:pPr>
      <w:r>
        <w:rPr>
          <w:rFonts w:hint="default" w:ascii="宋体" w:hAnsi="宋体" w:eastAsia="宋体" w:cs="宋体"/>
          <w:kern w:val="2"/>
          <w:sz w:val="24"/>
          <w:szCs w:val="24"/>
          <w:lang w:val="en-US" w:eastAsia="zh-CN" w:bidi="ar-SA"/>
        </w:rPr>
        <w:t>高风险场景：AI以“准专业建议者”的角色介入可能导致人身伤亡的领域——包括提供用药建议、医疗诊断、心理危机干预、工程安全指导、法律建议等。在此类场景中，AI的输出具备高度的人身或财产安全相关性，用户对AI建议的合理信赖程度较高，且损害一旦发生往往不可逆。该场景应适用推定的严格责任或举证责任倒置的过错推定——AI服务提供者需证明其已采取“行业最高标准的、针对特定风险领域的安全措施”，否则应承担赔偿责任。具体义务包括但不限于：对高风险领域查询实施强制性风险警告与二次确认机制、建立高风险输出的实时监控与阻断系统、对高风险建议附加可信来源链接以供用户核验、定期公布安全审计报告。</w:t>
      </w:r>
    </w:p>
    <w:p w14:paraId="4BD4AA97">
      <w:pPr>
        <w:rPr>
          <w:rFonts w:hint="eastAsia"/>
        </w:rPr>
      </w:pPr>
    </w:p>
    <w:p w14:paraId="6C3D775C">
      <w:pPr>
        <w:rPr>
          <w:rFonts w:hint="eastAsia"/>
        </w:rPr>
      </w:pPr>
      <w:r>
        <w:rPr>
          <w:rFonts w:hint="default" w:ascii="宋体" w:hAnsi="宋体" w:eastAsia="宋体" w:cs="宋体"/>
          <w:kern w:val="2"/>
          <w:sz w:val="24"/>
          <w:szCs w:val="24"/>
          <w:lang w:val="en-US" w:eastAsia="zh-CN" w:bidi="ar-SA"/>
        </w:rPr>
        <w:t>中风险场景：AI作为一般性信息服务提供者，输出可能涉及经济决策、学业评估、职业规划等具有一定后果但通常不危及生命健康的领域。此类场景适用过错责任，但注意义务标准应高于杭州判决所确立的“底线”水平——服务提供者不仅需履行提示说明义务，还应举证其对训练数据的质量进行了合理管控、对模型的幻觉率进行了行业认可的测试、并建立了用户纠错反馈的闭环机制。</w:t>
      </w:r>
    </w:p>
    <w:p w14:paraId="57B94DC3">
      <w:pPr>
        <w:rPr>
          <w:rFonts w:hint="eastAsia"/>
        </w:rPr>
      </w:pPr>
    </w:p>
    <w:p w14:paraId="750BF37C">
      <w:pPr>
        <w:rPr>
          <w:rFonts w:hint="eastAsia"/>
        </w:rPr>
      </w:pPr>
      <w:r>
        <w:rPr>
          <w:rFonts w:hint="default" w:ascii="宋体" w:hAnsi="宋体" w:eastAsia="宋体" w:cs="宋体"/>
          <w:kern w:val="2"/>
          <w:sz w:val="24"/>
          <w:szCs w:val="24"/>
          <w:lang w:val="en-US" w:eastAsia="zh-CN" w:bidi="ar-SA"/>
        </w:rPr>
        <w:t>低风险场景：AI用于娱乐对话、创意写作辅助、一般知识问答等输出后果轻微的场景。此类场景沿用过错责任，注意义务限于基本的提示说明和合规审查，为技术容错留出空间。</w:t>
      </w:r>
    </w:p>
    <w:p w14:paraId="3742EEB0">
      <w:pPr>
        <w:rPr>
          <w:rFonts w:hint="eastAsia"/>
        </w:rPr>
      </w:pPr>
    </w:p>
    <w:p w14:paraId="19652242">
      <w:pPr>
        <w:rPr>
          <w:rFonts w:hint="eastAsia"/>
        </w:rPr>
      </w:pPr>
      <w:r>
        <w:rPr>
          <w:rFonts w:hint="default" w:ascii="宋体" w:hAnsi="宋体" w:eastAsia="宋体" w:cs="宋体"/>
          <w:kern w:val="2"/>
          <w:sz w:val="24"/>
          <w:szCs w:val="24"/>
          <w:lang w:val="en-US" w:eastAsia="zh-CN" w:bidi="ar-SA"/>
        </w:rPr>
        <w:t>分层归责的关键在于：风险等级不是由AI服务的名义用途决定的，而是由“具体交互中的功能角色”决定的。一款通用聊天AI在被用户问及“如何缓解恶心”时，其功能角色已从“日常对话”滑入“医疗建议”的风险区间，归责标准也应随之升级。这一判断可以由监管机构通过事后评估做出，而无须要求开发者在事前穷举所有可能的风险场景。</w:t>
      </w:r>
    </w:p>
    <w:p w14:paraId="2A44D554">
      <w:pPr>
        <w:rPr>
          <w:rFonts w:hint="eastAsia"/>
        </w:rPr>
      </w:pPr>
    </w:p>
    <w:p w14:paraId="634BB822">
      <w:pPr>
        <w:rPr>
          <w:rFonts w:hint="eastAsia"/>
        </w:rPr>
      </w:pPr>
      <w:r>
        <w:rPr>
          <w:rFonts w:hint="eastAsia" w:ascii="黑体" w:hAnsi="宋体" w:eastAsia="黑体" w:cs="黑体"/>
          <w:kern w:val="2"/>
          <w:sz w:val="28"/>
          <w:szCs w:val="24"/>
          <w:lang w:val="en-US" w:eastAsia="zh-CN" w:bidi="ar-SA"/>
        </w:rPr>
        <w:t xml:space="preserve"> 4.2 全链条归责的多主体协同</w:t>
      </w:r>
    </w:p>
    <w:p w14:paraId="06D3B281">
      <w:pPr>
        <w:rPr>
          <w:rFonts w:hint="eastAsia"/>
        </w:rPr>
      </w:pPr>
    </w:p>
    <w:p w14:paraId="190F3E3E">
      <w:pPr>
        <w:rPr>
          <w:rFonts w:hint="eastAsia"/>
        </w:rPr>
      </w:pPr>
      <w:r>
        <w:rPr>
          <w:rFonts w:hint="default" w:ascii="宋体" w:hAnsi="宋体" w:eastAsia="宋体" w:cs="宋体"/>
          <w:kern w:val="2"/>
          <w:sz w:val="24"/>
          <w:szCs w:val="24"/>
          <w:lang w:val="en-US" w:eastAsia="zh-CN" w:bidi="ar-SA"/>
        </w:rPr>
        <w:t>突破“主体真空”的出路，不在于赋予AI法律人格——这条路短期内既无法律基础也无社会共识——而在于沿着“开发者—部署者—使用者”的全链条，合理分配各环节的责任份额。</w:t>
      </w:r>
    </w:p>
    <w:p w14:paraId="23972DD5">
      <w:pPr>
        <w:rPr>
          <w:rFonts w:hint="eastAsia"/>
        </w:rPr>
      </w:pPr>
    </w:p>
    <w:p w14:paraId="0C0C2547">
      <w:pPr>
        <w:rPr>
          <w:rFonts w:hint="eastAsia"/>
        </w:rPr>
      </w:pPr>
      <w:r>
        <w:rPr>
          <w:rFonts w:hint="default" w:ascii="宋体" w:hAnsi="宋体" w:eastAsia="宋体" w:cs="宋体"/>
          <w:kern w:val="2"/>
          <w:sz w:val="24"/>
          <w:szCs w:val="24"/>
          <w:lang w:val="en-US" w:eastAsia="zh-CN" w:bidi="ar-SA"/>
        </w:rPr>
        <w:t>开发者（模型提供者）承担基础安全义务。模型在交付前应通过高风险场景的压力测试，评估其对医疗、法律、安全等敏感查询的回应模式，并将测试结果作为产品合规的组成部分向监管机构备案。开发者不对每一次具体的滥用行为承担直接责任，但若其基础安全测试存在系统性缺失，则应就由此导致的损害承担与其过错相应的责任。</w:t>
      </w:r>
    </w:p>
    <w:p w14:paraId="19373515">
      <w:pPr>
        <w:rPr>
          <w:rFonts w:hint="eastAsia"/>
        </w:rPr>
      </w:pPr>
    </w:p>
    <w:p w14:paraId="7675E67A">
      <w:pPr>
        <w:rPr>
          <w:rFonts w:hint="eastAsia"/>
        </w:rPr>
      </w:pPr>
      <w:r>
        <w:rPr>
          <w:rFonts w:hint="default" w:ascii="宋体" w:hAnsi="宋体" w:eastAsia="宋体" w:cs="宋体"/>
          <w:kern w:val="2"/>
          <w:sz w:val="24"/>
          <w:szCs w:val="24"/>
          <w:lang w:val="en-US" w:eastAsia="zh-CN" w:bidi="ar-SA"/>
        </w:rPr>
        <w:t>部署者（具体应用运营者）承担场景适配义务。将通用模型部署到特定应用场景的主体（如基于GPT-4o开发健康咨询助手的公司），应针对该场景进行额外的安全微调与风险评估。部署者比开发者更接近具体使用场景，理应承担更高程度的场景特异性注意义务。</w:t>
      </w:r>
    </w:p>
    <w:p w14:paraId="22C35E54">
      <w:pPr>
        <w:rPr>
          <w:rFonts w:hint="eastAsia"/>
        </w:rPr>
      </w:pPr>
    </w:p>
    <w:p w14:paraId="1BBC6A01">
      <w:pPr>
        <w:rPr>
          <w:rFonts w:hint="eastAsia"/>
        </w:rPr>
      </w:pPr>
      <w:r>
        <w:rPr>
          <w:rFonts w:hint="default" w:ascii="宋体" w:hAnsi="宋体" w:eastAsia="宋体" w:cs="宋体"/>
          <w:kern w:val="2"/>
          <w:sz w:val="24"/>
          <w:szCs w:val="24"/>
          <w:lang w:val="en-US" w:eastAsia="zh-CN" w:bidi="ar-SA"/>
        </w:rPr>
        <w:t>专业使用者（如借助AI辅助诊断的医生）保留最终判断义务。在专业场景中，AI建议必须经过人类专业人员的实质审核。医师不能以“AI建议如此”为由免除自身的诊疗过失责任。“适格诊疗决定中心”原则应在此得到坚持。</w:t>
      </w:r>
    </w:p>
    <w:p w14:paraId="5108D63D">
      <w:pPr>
        <w:rPr>
          <w:rFonts w:hint="eastAsia"/>
        </w:rPr>
      </w:pPr>
    </w:p>
    <w:p w14:paraId="0FE8ACE4">
      <w:pPr>
        <w:rPr>
          <w:rFonts w:hint="eastAsia"/>
        </w:rPr>
      </w:pPr>
      <w:r>
        <w:rPr>
          <w:rFonts w:hint="default" w:ascii="宋体" w:hAnsi="宋体" w:eastAsia="宋体" w:cs="宋体"/>
          <w:kern w:val="2"/>
          <w:sz w:val="24"/>
          <w:szCs w:val="24"/>
          <w:lang w:val="en-US" w:eastAsia="zh-CN" w:bidi="ar-SA"/>
        </w:rPr>
        <w:t>普通使用者承担基本的合理注意义务，但标准不应苛严。普通用户对AI建议的合理信赖应受到一定程度的保护，尤其是在AI主动以权威口吻给出个性化建议的场景中。平台方不得通过在用户协议中以格式条款全面免除自身责任——此类免责条款在造成人身损害时，应依据《民法典》第497条（不合理地免除或减轻其责任）认定为无效。</w:t>
      </w:r>
    </w:p>
    <w:p w14:paraId="1CEAE03C">
      <w:pPr>
        <w:rPr>
          <w:rFonts w:hint="eastAsia"/>
        </w:rPr>
      </w:pPr>
    </w:p>
    <w:p w14:paraId="28FBD50B">
      <w:pPr>
        <w:rPr>
          <w:rFonts w:hint="eastAsia" w:ascii="黑体" w:hAnsi="宋体" w:eastAsia="黑体" w:cs="黑体"/>
          <w:kern w:val="2"/>
          <w:sz w:val="28"/>
          <w:szCs w:val="24"/>
          <w:lang w:val="en-US" w:eastAsia="zh-CN" w:bidi="ar-SA"/>
        </w:rPr>
      </w:pPr>
      <w:r>
        <w:rPr>
          <w:rFonts w:hint="eastAsia" w:ascii="黑体" w:hAnsi="宋体" w:eastAsia="黑体" w:cs="黑体"/>
          <w:kern w:val="2"/>
          <w:sz w:val="28"/>
          <w:szCs w:val="24"/>
          <w:lang w:val="en-US" w:eastAsia="zh-CN" w:bidi="ar-SA"/>
        </w:rPr>
        <w:t xml:space="preserve"> 4.3 敏捷治理的制度要素</w:t>
      </w:r>
    </w:p>
    <w:p w14:paraId="5BDE9CFB">
      <w:pPr>
        <w:rPr>
          <w:rFonts w:hint="eastAsia" w:ascii="黑体" w:hAnsi="宋体" w:eastAsia="黑体" w:cs="黑体"/>
          <w:kern w:val="2"/>
          <w:sz w:val="28"/>
          <w:szCs w:val="24"/>
          <w:lang w:val="en-US" w:eastAsia="zh-CN" w:bidi="ar-SA"/>
        </w:rPr>
      </w:pPr>
    </w:p>
    <w:p w14:paraId="5CF23728">
      <w:pPr>
        <w:rPr>
          <w:rFonts w:hint="eastAsia"/>
        </w:rPr>
      </w:pPr>
      <w:r>
        <w:rPr>
          <w:rFonts w:hint="default" w:ascii="宋体" w:hAnsi="宋体" w:eastAsia="宋体" w:cs="宋体"/>
          <w:kern w:val="2"/>
          <w:sz w:val="24"/>
          <w:szCs w:val="24"/>
          <w:lang w:val="en-US" w:eastAsia="zh-CN" w:bidi="ar-SA"/>
        </w:rPr>
        <w:t>面对技术迭代与法律响应的速度错位，必须将敏捷治理的理念嵌入制度设计。具体制度要素包括：</w:t>
      </w:r>
    </w:p>
    <w:p w14:paraId="17770D46">
      <w:pPr>
        <w:rPr>
          <w:rFonts w:hint="eastAsia"/>
        </w:rPr>
      </w:pPr>
    </w:p>
    <w:p w14:paraId="22674D26">
      <w:pPr>
        <w:rPr>
          <w:rFonts w:hint="eastAsia"/>
        </w:rPr>
      </w:pPr>
      <w:r>
        <w:rPr>
          <w:rFonts w:hint="default" w:ascii="宋体" w:hAnsi="宋体" w:eastAsia="宋体" w:cs="宋体"/>
          <w:kern w:val="2"/>
          <w:sz w:val="24"/>
          <w:szCs w:val="24"/>
          <w:lang w:val="en-US" w:eastAsia="zh-CN" w:bidi="ar-SA"/>
        </w:rPr>
        <w:t>动态调整的配套规章与指南。高位阶的AI基本立法应设定原则性的风险分级框架与归责原则，而将具体的风险场景清单、安全措施技术标准、注意义务具体内容等下放至行政法规、部门规章和行业指南层面，使其能够通过相对快捷的行政程序定期更新。国家发改委正在推进的AI立法研究和谋划出台的“人工智能+”配套文件，正可担负这一衔接功能。</w:t>
      </w:r>
    </w:p>
    <w:p w14:paraId="0A0095B4">
      <w:pPr>
        <w:rPr>
          <w:rFonts w:hint="eastAsia"/>
        </w:rPr>
      </w:pPr>
    </w:p>
    <w:p w14:paraId="79261081">
      <w:pPr>
        <w:rPr>
          <w:rFonts w:hint="eastAsia"/>
        </w:rPr>
      </w:pPr>
      <w:r>
        <w:rPr>
          <w:rFonts w:hint="default" w:ascii="宋体" w:hAnsi="宋体" w:eastAsia="宋体" w:cs="宋体"/>
          <w:kern w:val="2"/>
          <w:sz w:val="24"/>
          <w:szCs w:val="24"/>
          <w:lang w:val="en-US" w:eastAsia="zh-CN" w:bidi="ar-SA"/>
        </w:rPr>
        <w:t>沙箱测试与豁免机制。对于处于研发阶段的AI应用，应允许在受控环境中进行安全测试，并给予一定程度的责任豁免，以鼓励企业在推向市场前充分暴露风险。监管机构与开发者之间的信息不对称是AI治理的核心难题，沙箱机制可以部分地弥合这一信息缺口。</w:t>
      </w:r>
    </w:p>
    <w:p w14:paraId="66A2C99B">
      <w:pPr>
        <w:rPr>
          <w:rFonts w:hint="eastAsia"/>
        </w:rPr>
      </w:pPr>
    </w:p>
    <w:p w14:paraId="6CF29FED">
      <w:pPr>
        <w:rPr>
          <w:rFonts w:hint="eastAsia"/>
        </w:rPr>
      </w:pPr>
      <w:r>
        <w:rPr>
          <w:rFonts w:hint="default" w:ascii="宋体" w:hAnsi="宋体" w:eastAsia="宋体" w:cs="宋体"/>
          <w:kern w:val="2"/>
          <w:sz w:val="24"/>
          <w:szCs w:val="24"/>
          <w:lang w:val="en-US" w:eastAsia="zh-CN" w:bidi="ar-SA"/>
        </w:rPr>
        <w:t>保险与赔偿基金的制度化。在归责路径清晰化尚需时日的情况下，可探索建立AI致害的行业性责任保险或赔偿基金，为受害者提供兜底性救济。保险机制同时具有风险定价功能——高风险AI应用的保费更高，从而用市场信号激励安全投入。</w:t>
      </w:r>
    </w:p>
    <w:p w14:paraId="12B779A7">
      <w:pPr>
        <w:rPr>
          <w:rFonts w:hint="eastAsia"/>
        </w:rPr>
      </w:pPr>
    </w:p>
    <w:p w14:paraId="31FB62FA">
      <w:pPr>
        <w:rPr>
          <w:rFonts w:hint="eastAsia" w:ascii="黑体" w:hAnsi="宋体" w:eastAsia="黑体" w:cs="黑体"/>
          <w:b/>
          <w:bCs/>
          <w:kern w:val="2"/>
          <w:sz w:val="32"/>
          <w:szCs w:val="24"/>
          <w:lang w:val="en-US" w:eastAsia="zh-CN" w:bidi="ar-SA"/>
        </w:rPr>
      </w:pPr>
      <w:r>
        <w:rPr>
          <w:rFonts w:hint="default" w:ascii="宋体" w:hAnsi="宋体" w:eastAsia="宋体" w:cs="宋体"/>
          <w:kern w:val="2"/>
          <w:sz w:val="24"/>
          <w:szCs w:val="24"/>
          <w:lang w:val="en-US" w:eastAsia="zh-CN" w:bidi="ar-SA"/>
        </w:rPr>
        <w:t>司法裁判与监管执法的协调互补。杭州案的司法逻辑与宾州Character.AI案的行政监管逻辑构成两种互补的治理工具。司法通过个案裁判渐进确立责任边界，监管通过主动执法阻止系统性风险——两者缺一不可。国家发改委明确表示正在强化安全治理能力建设，推动AI朝“有益、安全、公平”方向发展，这意味着中国的AI治理正在走向司法、行政、立法三者联动的综合体系。</w:t>
      </w:r>
      <w:bookmarkStart w:id="0" w:name="_GoBack"/>
      <w:bookmarkEnd w:id="0"/>
    </w:p>
    <w:p w14:paraId="37845C9C">
      <w:pPr>
        <w:rPr>
          <w:rFonts w:hint="eastAsia" w:ascii="黑体" w:hAnsi="宋体" w:eastAsia="黑体" w:cs="黑体"/>
          <w:b/>
          <w:bCs/>
          <w:kern w:val="2"/>
          <w:sz w:val="32"/>
          <w:szCs w:val="24"/>
          <w:lang w:val="en-US" w:eastAsia="zh-CN" w:bidi="ar-SA"/>
        </w:rPr>
      </w:pPr>
      <w:r>
        <w:rPr>
          <w:rFonts w:hint="eastAsia" w:ascii="黑体" w:hAnsi="宋体" w:eastAsia="黑体" w:cs="黑体"/>
          <w:b/>
          <w:bCs/>
          <w:kern w:val="2"/>
          <w:sz w:val="32"/>
          <w:szCs w:val="24"/>
          <w:lang w:val="en-US" w:eastAsia="zh-CN" w:bidi="ar-SA"/>
        </w:rPr>
        <w:t xml:space="preserve"> 5 结论</w:t>
      </w:r>
    </w:p>
    <w:p w14:paraId="02B545AF">
      <w:pPr>
        <w:rPr>
          <w:rFonts w:hint="eastAsia"/>
        </w:rPr>
      </w:pPr>
    </w:p>
    <w:p w14:paraId="55523048">
      <w:pPr>
        <w:rPr>
          <w:rFonts w:hint="eastAsia"/>
        </w:rPr>
      </w:pPr>
      <w:r>
        <w:rPr>
          <w:rFonts w:hint="default" w:ascii="宋体" w:hAnsi="宋体" w:eastAsia="宋体" w:cs="宋体"/>
          <w:kern w:val="2"/>
          <w:sz w:val="24"/>
          <w:szCs w:val="24"/>
          <w:lang w:val="en-US" w:eastAsia="zh-CN" w:bidi="ar-SA"/>
        </w:rPr>
        <w:t>Sam Nelson的生命终止在一个19岁的夜晚，而法律至今无法清晰回答一个简单的问题：谁该为那条致命的用药建议负责？这个问题的难度，不仅在于技术上的因果追溯，更在于它将侵权法数百年来的核心假设——行为主体是人，责任归于人——逼到了极限。</w:t>
      </w:r>
    </w:p>
    <w:p w14:paraId="6B2C3772">
      <w:pPr>
        <w:rPr>
          <w:rFonts w:hint="eastAsia"/>
        </w:rPr>
      </w:pPr>
    </w:p>
    <w:p w14:paraId="0E307CB0">
      <w:pPr>
        <w:rPr>
          <w:rFonts w:hint="eastAsia"/>
        </w:rPr>
      </w:pPr>
      <w:r>
        <w:rPr>
          <w:rFonts w:hint="default" w:ascii="宋体" w:hAnsi="宋体" w:eastAsia="宋体" w:cs="宋体"/>
          <w:kern w:val="2"/>
          <w:sz w:val="24"/>
          <w:szCs w:val="24"/>
          <w:lang w:val="en-US" w:eastAsia="zh-CN" w:bidi="ar-SA"/>
        </w:rPr>
        <w:t>本文的分析试图表明：生成式AI致害的责任认定困境，并非简单的立法滞后问题，而是法律主体预设与AI功能现实之间的结构性错位。解决这一困境，不能寄望于单一的立法修补或个案的司法智慧，而需要一种体系性的制度回应——以场景风险分级为框架、以全链条多主体责任分配为路径、以敏捷治理为动态调适机制，在受害者救济与技术创新之间寻求动态平衡。</w:t>
      </w:r>
    </w:p>
    <w:p w14:paraId="431AB0AD">
      <w:pPr>
        <w:rPr>
          <w:rFonts w:hint="eastAsia"/>
        </w:rPr>
      </w:pPr>
    </w:p>
    <w:p w14:paraId="2C229222">
      <w:pPr>
        <w:rPr>
          <w:rFonts w:hint="eastAsia"/>
        </w:rPr>
      </w:pPr>
      <w:r>
        <w:rPr>
          <w:rFonts w:hint="default" w:ascii="宋体" w:hAnsi="宋体" w:eastAsia="宋体" w:cs="宋体"/>
          <w:kern w:val="2"/>
          <w:sz w:val="24"/>
          <w:szCs w:val="24"/>
          <w:lang w:val="en-US" w:eastAsia="zh-CN" w:bidi="ar-SA"/>
        </w:rPr>
        <w:t>国家发改委正在开展的AI立法研究、已出台的《人工智能科技伦理审查与服务办法》和《智能体规范应用与创新发展实施意见》，以及杭州法院的首次司法探索，都在各自层面上为这一体系贡献力量。下一步的关键，是将这些分散的制度组件装配成一个有机整体——在这个整体中，当一条AI建议导致人身伤亡时，受害者不必陷入“主体真空”的无助，开发者不必因偶发事故面临毁灭性责任，而系统整体能够在每一个惨痛教训后变得更安全。</w:t>
      </w:r>
    </w:p>
    <w:p w14:paraId="0510F6E5">
      <w:pPr>
        <w:rPr>
          <w:rFonts w:hint="eastAsia"/>
        </w:rPr>
      </w:pPr>
    </w:p>
    <w:p w14:paraId="5F00B418">
      <w:pPr>
        <w:rPr>
          <w:rFonts w:hint="eastAsia"/>
        </w:rPr>
      </w:pPr>
      <w:r>
        <w:rPr>
          <w:rFonts w:hint="default" w:ascii="宋体" w:hAnsi="宋体" w:eastAsia="宋体" w:cs="宋体"/>
          <w:kern w:val="2"/>
          <w:sz w:val="24"/>
          <w:szCs w:val="24"/>
          <w:lang w:val="en-US" w:eastAsia="zh-CN" w:bidi="ar-SA"/>
        </w:rPr>
        <w:t>AI不需要被赋予法律人格，但法律必须为AI致害的受害者保留一条通往正义的道路。这条路不需要是直线——它可以是分叉的、多层的、依赖于场景判断的——但它不能是死胡同。Sam Nelson案将是这条路上的一块重要路标，无论最终判决如何，它所提出的追问已经改变了法律与技术对话的议程。</w:t>
      </w:r>
    </w:p>
    <w:p w14:paraId="2103C92A">
      <w:pPr>
        <w:rPr>
          <w:rFonts w:hint="eastAsia"/>
        </w:rPr>
      </w:pPr>
    </w:p>
    <w:p w14:paraId="21B53243">
      <w:pPr>
        <w:rPr>
          <w:rFonts w:hint="eastAsia"/>
        </w:rPr>
      </w:pPr>
    </w:p>
    <w:p w14:paraId="46CEA13D">
      <w:pPr>
        <w:rPr>
          <w:rFonts w:hint="eastAsia"/>
        </w:rPr>
      </w:pPr>
      <w:r>
        <w:rPr>
          <w:rFonts w:hint="eastAsia" w:ascii="黑体" w:hAnsi="宋体" w:eastAsia="黑体" w:cs="黑体"/>
          <w:b/>
          <w:bCs/>
          <w:kern w:val="2"/>
          <w:sz w:val="32"/>
          <w:szCs w:val="24"/>
          <w:lang w:val="en-US" w:eastAsia="zh-CN" w:bidi="ar-SA"/>
        </w:rPr>
        <w:t xml:space="preserve"> 参考文献</w:t>
      </w:r>
    </w:p>
    <w:p w14:paraId="4B9AC761">
      <w:pPr>
        <w:rPr>
          <w:rFonts w:hint="eastAsia"/>
        </w:rPr>
      </w:pPr>
    </w:p>
    <w:p w14:paraId="27049776">
      <w:pPr>
        <w:rPr>
          <w:rFonts w:hint="eastAsia"/>
        </w:rPr>
      </w:pPr>
      <w:r>
        <w:rPr>
          <w:rFonts w:hint="default" w:ascii="宋体" w:hAnsi="宋体" w:eastAsia="宋体" w:cs="宋体"/>
          <w:kern w:val="2"/>
          <w:sz w:val="21"/>
          <w:szCs w:val="24"/>
          <w:lang w:val="en-US" w:eastAsia="zh-CN" w:bidi="ar-SA"/>
        </w:rPr>
        <w:t>[1] 国家发展改革委. 2026年5月份月度新闻发布会[EB/OL]. 2026-05-22.</w:t>
      </w:r>
    </w:p>
    <w:p w14:paraId="2C93EA02">
      <w:pPr>
        <w:rPr>
          <w:rFonts w:hint="eastAsia"/>
        </w:rPr>
      </w:pPr>
    </w:p>
    <w:p w14:paraId="36E17613">
      <w:pPr>
        <w:rPr>
          <w:rFonts w:hint="eastAsia"/>
        </w:rPr>
      </w:pPr>
      <w:r>
        <w:rPr>
          <w:rFonts w:hint="default" w:ascii="宋体" w:hAnsi="宋体" w:eastAsia="宋体" w:cs="宋体"/>
          <w:kern w:val="2"/>
          <w:sz w:val="21"/>
          <w:szCs w:val="24"/>
          <w:lang w:val="en-US" w:eastAsia="zh-CN" w:bidi="ar-SA"/>
        </w:rPr>
        <w:t>[2] Tech Justice Law Project et al. Complaint for Damages: Turner-Scott v. OpenAI, Inc. [Z]. Superior Court of California, County of San Francisco, 2026-05-12.</w:t>
      </w:r>
    </w:p>
    <w:p w14:paraId="119B5AC2">
      <w:pPr>
        <w:rPr>
          <w:rFonts w:hint="eastAsia"/>
        </w:rPr>
      </w:pPr>
    </w:p>
    <w:p w14:paraId="49C0D173">
      <w:pPr>
        <w:rPr>
          <w:rFonts w:hint="eastAsia"/>
        </w:rPr>
      </w:pPr>
      <w:r>
        <w:rPr>
          <w:rFonts w:hint="default" w:ascii="宋体" w:hAnsi="宋体" w:eastAsia="宋体" w:cs="宋体"/>
          <w:kern w:val="2"/>
          <w:sz w:val="21"/>
          <w:szCs w:val="24"/>
          <w:lang w:val="en-US" w:eastAsia="zh-CN" w:bidi="ar-SA"/>
        </w:rPr>
        <w:t>[3] Jimerson Firm. Medical AI Liability: Who’s Responsible When the Machine Gets It Wrong? [EB/OL]. 2026.</w:t>
      </w:r>
    </w:p>
    <w:p w14:paraId="09C14C08">
      <w:pPr>
        <w:rPr>
          <w:rFonts w:hint="eastAsia"/>
        </w:rPr>
      </w:pPr>
    </w:p>
    <w:p w14:paraId="1FBC6477">
      <w:pPr>
        <w:rPr>
          <w:rFonts w:hint="eastAsia"/>
        </w:rPr>
      </w:pPr>
      <w:r>
        <w:rPr>
          <w:rFonts w:hint="default" w:ascii="宋体" w:hAnsi="宋体" w:eastAsia="宋体" w:cs="宋体"/>
          <w:kern w:val="2"/>
          <w:sz w:val="21"/>
          <w:szCs w:val="24"/>
          <w:lang w:val="en-US" w:eastAsia="zh-CN" w:bidi="ar-SA"/>
        </w:rPr>
        <w:t>[4] Commonwealth of Pennsylvania v. Character Technologies, Inc. [Z]. Complaint for Injunctive Relief, 2026-05-01.</w:t>
      </w:r>
    </w:p>
    <w:p w14:paraId="4FF2F064">
      <w:pPr>
        <w:rPr>
          <w:rFonts w:hint="eastAsia"/>
        </w:rPr>
      </w:pPr>
    </w:p>
    <w:p w14:paraId="3625550E">
      <w:pPr>
        <w:rPr>
          <w:rFonts w:hint="eastAsia"/>
        </w:rPr>
      </w:pPr>
      <w:r>
        <w:rPr>
          <w:rFonts w:hint="default" w:ascii="宋体" w:hAnsi="宋体" w:eastAsia="宋体" w:cs="宋体"/>
          <w:kern w:val="2"/>
          <w:sz w:val="21"/>
          <w:szCs w:val="24"/>
          <w:lang w:val="en-US" w:eastAsia="zh-CN" w:bidi="ar-SA"/>
        </w:rPr>
        <w:t>[5] 杭州互联网法院. 全国首例“AI幻觉”侵权案一审判决书[Z]. 2026-01.</w:t>
      </w:r>
    </w:p>
    <w:p w14:paraId="58F12A36">
      <w:pPr>
        <w:rPr>
          <w:rFonts w:hint="eastAsia"/>
        </w:rPr>
      </w:pPr>
    </w:p>
    <w:p w14:paraId="6B93D111">
      <w:pPr>
        <w:rPr>
          <w:rFonts w:hint="eastAsia"/>
        </w:rPr>
      </w:pPr>
      <w:r>
        <w:rPr>
          <w:rFonts w:hint="default" w:ascii="宋体" w:hAnsi="宋体" w:eastAsia="宋体" w:cs="宋体"/>
          <w:kern w:val="2"/>
          <w:sz w:val="21"/>
          <w:szCs w:val="24"/>
          <w:lang w:val="en-US" w:eastAsia="zh-CN" w:bidi="ar-SA"/>
        </w:rPr>
        <w:t>[6] 吴梦婷, 唐鸿宇. 适格诊疗决定中心论：AI医疗的责任归属[J]. 2026.</w:t>
      </w:r>
    </w:p>
    <w:p w14:paraId="562DA62B">
      <w:pPr>
        <w:rPr>
          <w:rFonts w:hint="eastAsia"/>
        </w:rPr>
      </w:pPr>
    </w:p>
    <w:p w14:paraId="00FBD404">
      <w:pPr>
        <w:rPr>
          <w:rFonts w:hint="eastAsia"/>
        </w:rPr>
      </w:pPr>
      <w:r>
        <w:rPr>
          <w:rFonts w:hint="default" w:ascii="宋体" w:hAnsi="宋体" w:eastAsia="宋体" w:cs="宋体"/>
          <w:kern w:val="2"/>
          <w:sz w:val="21"/>
          <w:szCs w:val="24"/>
          <w:lang w:val="en-US" w:eastAsia="zh-CN" w:bidi="ar-SA"/>
        </w:rPr>
        <w:t>[7] 工业和信息化部等十部门. 人工智能科技伦理审查与服务办法（试行）[Z]. 工信部联科〔2026〕75号, 2026-03-20.</w:t>
      </w:r>
    </w:p>
    <w:p w14:paraId="6A90C578">
      <w:pPr>
        <w:rPr>
          <w:rFonts w:hint="eastAsia"/>
        </w:rPr>
      </w:pPr>
    </w:p>
    <w:p w14:paraId="430578F7">
      <w:pPr>
        <w:rPr>
          <w:rFonts w:hint="eastAsia"/>
        </w:rPr>
      </w:pPr>
      <w:r>
        <w:rPr>
          <w:rFonts w:hint="default" w:ascii="宋体" w:hAnsi="宋体" w:eastAsia="宋体" w:cs="宋体"/>
          <w:kern w:val="2"/>
          <w:sz w:val="21"/>
          <w:szCs w:val="24"/>
          <w:lang w:val="en-US" w:eastAsia="zh-CN" w:bidi="ar-SA"/>
        </w:rPr>
        <w:t>[8] 国家互联网信息办公室等. 智能体规范应用与创新发展实施意见[Z]. 2026-05-08.</w:t>
      </w:r>
    </w:p>
    <w:p w14:paraId="2E3BFE78">
      <w:pPr>
        <w:rPr>
          <w:rFonts w:hint="eastAsia"/>
        </w:rPr>
      </w:pPr>
    </w:p>
    <w:p w14:paraId="26BDB7E8">
      <w:pPr>
        <w:rPr>
          <w:rFonts w:hint="eastAsia"/>
        </w:rPr>
      </w:pPr>
      <w:r>
        <w:rPr>
          <w:rFonts w:hint="default" w:ascii="宋体" w:hAnsi="宋体" w:eastAsia="宋体" w:cs="宋体"/>
          <w:kern w:val="2"/>
          <w:sz w:val="21"/>
          <w:szCs w:val="24"/>
          <w:lang w:val="en-US" w:eastAsia="zh-CN" w:bidi="ar-SA"/>
        </w:rPr>
        <w:t>[9] 国务院办公厅. 国务院2026年度立法工作计划[Z]. 国办发〔2026〕17号, 2026-05-08.</w:t>
      </w:r>
    </w:p>
    <w:p w14:paraId="5C4756E5">
      <w:pPr>
        <w:rPr>
          <w:rFonts w:hint="eastAsia"/>
        </w:rPr>
      </w:pPr>
    </w:p>
    <w:p w14:paraId="1BAE04CB">
      <w:r>
        <w:rPr>
          <w:rFonts w:hint="default" w:ascii="宋体" w:hAnsi="宋体" w:eastAsia="宋体" w:cs="宋体"/>
          <w:kern w:val="2"/>
          <w:sz w:val="21"/>
          <w:szCs w:val="24"/>
          <w:lang w:val="en-US" w:eastAsia="zh-CN" w:bidi="ar-SA"/>
        </w:rPr>
        <w:t>[10] 最高人民法院. 2026年工作报告[R]. 2026-03.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670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2026-05-23T10:42:37Z</dcterms:created>
  <dc:creator>永远健康</dc:creator>
  <cp:lastModifiedBy>WPS_1719835985</cp:lastModifiedBy>
  <dcterms:modified xsi:type="dcterms:W3CDTF">2026-05-23T10:47:46Z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23CABC7C71FD464CABD115A0B1D19C59_12</vt:lpwstr>
  </property>
</Properties>
</file>