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140"/>
        <w:jc w:val="center"/>
      </w:pPr>
      <w:r>
        <w:rPr>
          <w:rFonts w:ascii="Arial" w:hAnsi="Arial" w:eastAsia="Microsoft YaHei"/>
          <w:b/>
          <w:color w:val="000000"/>
          <w:sz w:val="44"/>
        </w:rPr>
        <w:t>2026 数学建模国赛 C 题候选建模思路与选型理由</w:t>
      </w:r>
    </w:p>
    <w:p>
      <w:pPr>
        <w:spacing w:after="360"/>
        <w:jc w:val="center"/>
      </w:pPr>
      <w:r>
        <w:rPr>
          <w:rFonts w:ascii="Arial" w:hAnsi="Arial" w:eastAsia="Microsoft YaHei"/>
          <w:b/>
          <w:color w:val="3F3F3F"/>
          <w:sz w:val="26"/>
        </w:rPr>
        <w:t>微网与外部电网电力调控策略</w:t>
      </w:r>
    </w:p>
    <w:p>
      <w:pPr>
        <w:keepLines/>
        <w:spacing w:before="0" w:after="140" w:line="324" w:lineRule="auto"/>
      </w:pPr>
      <w:r>
        <w:rPr>
          <w:rFonts w:ascii="Arial" w:hAnsi="Arial" w:eastAsia="SimSun"/>
          <w:b w:val="0"/>
          <w:color w:val="000000"/>
          <w:sz w:val="22"/>
        </w:rPr>
        <w:t>本文件用于队伍在正式求解前比较建模路线。建议采用统一的线性规划与滚动时域优化主线：问题一建立确定性调度骨架；问题二加入日前不确定性和应急购电；问题三加入日内预测更新；问题四加入实时电价。当前阶段只确定候选路线，队伍确认后再锁定模型、参数和代码实现。</w:t>
      </w:r>
    </w:p>
    <w:p>
      <w:pPr>
        <w:keepLines/>
        <w:spacing w:before="0" w:after="200" w:line="324" w:lineRule="auto"/>
      </w:pPr>
      <w:r>
        <w:rPr>
          <w:rFonts w:ascii="Arial" w:hAnsi="Arial" w:eastAsia="SimSun"/>
          <w:b/>
          <w:color w:val="000000"/>
          <w:sz w:val="22"/>
        </w:rPr>
        <w:t>推荐结论：</w:t>
      </w:r>
      <w:r>
        <w:rPr>
          <w:rFonts w:ascii="Arial" w:hAnsi="Arial" w:eastAsia="SimSun"/>
          <w:b w:val="0"/>
          <w:color w:val="000000"/>
          <w:sz w:val="22"/>
        </w:rPr>
        <w:t>优先选择 H 路线，即问题一使用确定性线性规划，问题二以完美信息线性规划作为下界并以两阶段随机模型或机会约束作为主模型，问题三使用滚动时域 MPC，问题四使用价格感知的滚动 MPC。</w:t>
      </w:r>
    </w:p>
    <w:p>
      <w:pPr>
        <w:pStyle w:val="Heading1"/>
        <w:keepNext/>
      </w:pPr>
      <w:r>
        <w:t>一 题目结构与统一建模主线</w:t>
      </w:r>
    </w:p>
    <w:p>
      <w:pPr>
        <w:keepLines/>
        <w:spacing w:before="0" w:after="100" w:line="324" w:lineRule="auto"/>
        <w:ind w:firstLine="440"/>
      </w:pPr>
      <w:r>
        <w:rPr>
          <w:rFonts w:ascii="Arial" w:hAnsi="Arial" w:eastAsia="SimSun"/>
          <w:b w:val="0"/>
          <w:color w:val="000000"/>
          <w:sz w:val="22"/>
        </w:rPr>
        <w:t>题目依次增加四类结构：确定性日内调度、全年实际波动、日内预测更新和实时电价变化。四问共享同一套能量守恒与储能状态转移关系，因此应当在一个基础模型上逐层增加信息和成本规则，而不宜为每一问机械更换算法。</w:t>
      </w:r>
    </w:p>
    <w:p>
      <w:pPr>
        <w:keepLines/>
        <w:spacing w:before="0" w:after="100" w:line="324" w:lineRule="auto"/>
        <w:ind w:firstLine="440"/>
      </w:pPr>
      <w:r>
        <w:rPr>
          <w:rFonts w:ascii="Arial" w:hAnsi="Arial" w:eastAsia="SimSun"/>
          <w:b w:val="0"/>
          <w:color w:val="000000"/>
          <w:sz w:val="22"/>
        </w:rPr>
        <w:t>基础状态是储能电量 SOC。每个时段中，外购电、光伏和储能放电共同满足负荷、储能充电与弃光；下一时段 SOC 由本时段 SOC、充电量、放电量和效率决定。题目给出的购电成本、能量平衡、容量限制及多数调整成本均为线性或分段线性关系，因此线性规划是最自然的起点。</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1152"/>
            <w:shd w:fill="1F4E78"/>
            <w:tcMar>
              <w:top w:w="110" w:type="dxa"/>
              <w:start w:w="120" w:type="dxa"/>
              <w:bottom w:w="110" w:type="dxa"/>
              <w:end w:w="120" w:type="dxa"/>
            </w:tcMar>
            <w:vAlign w:val="center"/>
          </w:tcPr>
          <w:p>
            <w:pPr>
              <w:spacing w:after="0"/>
              <w:jc w:val="center"/>
            </w:pPr>
            <w:r>
              <w:rPr>
                <w:rFonts w:ascii="Arial" w:hAnsi="Arial" w:eastAsia="Microsoft YaHei"/>
                <w:b/>
                <w:color w:val="FFFFFF"/>
                <w:sz w:val="18"/>
              </w:rPr>
              <w:t>问题</w:t>
            </w:r>
          </w:p>
        </w:tc>
        <w:tc>
          <w:tcPr>
            <w:tcW w:type="dxa" w:w="3384"/>
            <w:shd w:fill="1F4E78"/>
            <w:tcMar>
              <w:top w:w="110" w:type="dxa"/>
              <w:start w:w="120" w:type="dxa"/>
              <w:bottom w:w="110" w:type="dxa"/>
              <w:end w:w="120" w:type="dxa"/>
            </w:tcMar>
            <w:vAlign w:val="center"/>
          </w:tcPr>
          <w:p>
            <w:pPr>
              <w:spacing w:after="0"/>
              <w:jc w:val="center"/>
            </w:pPr>
            <w:r>
              <w:rPr>
                <w:rFonts w:ascii="Arial" w:hAnsi="Arial" w:eastAsia="Microsoft YaHei"/>
                <w:b/>
                <w:color w:val="FFFFFF"/>
                <w:sz w:val="18"/>
              </w:rPr>
              <w:t>新增题目结构</w:t>
            </w:r>
          </w:p>
        </w:tc>
        <w:tc>
          <w:tcPr>
            <w:tcW w:type="dxa" w:w="2232"/>
            <w:shd w:fill="1F4E78"/>
            <w:tcMar>
              <w:top w:w="110" w:type="dxa"/>
              <w:start w:w="120" w:type="dxa"/>
              <w:bottom w:w="110" w:type="dxa"/>
              <w:end w:w="120" w:type="dxa"/>
            </w:tcMar>
            <w:vAlign w:val="center"/>
          </w:tcPr>
          <w:p>
            <w:pPr>
              <w:spacing w:after="0"/>
              <w:jc w:val="center"/>
            </w:pPr>
            <w:r>
              <w:rPr>
                <w:rFonts w:ascii="Arial" w:hAnsi="Arial" w:eastAsia="Microsoft YaHei"/>
                <w:b/>
                <w:color w:val="FFFFFF"/>
                <w:sz w:val="18"/>
              </w:rPr>
              <w:t>自然形成的模型</w:t>
            </w:r>
          </w:p>
        </w:tc>
        <w:tc>
          <w:tcPr>
            <w:tcW w:type="dxa" w:w="2520"/>
            <w:shd w:fill="1F4E78"/>
            <w:tcMar>
              <w:top w:w="110" w:type="dxa"/>
              <w:start w:w="120" w:type="dxa"/>
              <w:bottom w:w="110" w:type="dxa"/>
              <w:end w:w="120" w:type="dxa"/>
            </w:tcMar>
            <w:vAlign w:val="center"/>
          </w:tcPr>
          <w:p>
            <w:pPr>
              <w:spacing w:after="0"/>
              <w:jc w:val="center"/>
            </w:pPr>
            <w:r>
              <w:rPr>
                <w:rFonts w:ascii="Arial" w:hAnsi="Arial" w:eastAsia="Microsoft YaHei"/>
                <w:b/>
                <w:color w:val="FFFFFF"/>
                <w:sz w:val="18"/>
              </w:rPr>
              <w:t>核心验证</w:t>
            </w:r>
          </w:p>
        </w:tc>
      </w:tr>
      <w:tr>
        <w:tc>
          <w:tcPr>
            <w:tcW w:type="dxa" w:w="1152"/>
            <w:tcMar>
              <w:top w:w="110" w:type="dxa"/>
              <w:start w:w="120" w:type="dxa"/>
              <w:bottom w:w="110" w:type="dxa"/>
              <w:end w:w="120" w:type="dxa"/>
            </w:tcMar>
            <w:vAlign w:val="center"/>
          </w:tcPr>
          <w:p>
            <w:pPr>
              <w:spacing w:after="0" w:line="276" w:lineRule="auto"/>
              <w:jc w:val="center"/>
            </w:pPr>
            <w:r>
              <w:rPr>
                <w:rFonts w:ascii="Arial" w:hAnsi="Arial" w:eastAsia="SimSun"/>
                <w:b w:val="0"/>
                <w:color w:val="000000"/>
                <w:sz w:val="18"/>
              </w:rPr>
              <w:t>问题一</w:t>
            </w:r>
          </w:p>
        </w:tc>
        <w:tc>
          <w:tcPr>
            <w:tcW w:type="dxa" w:w="3384"/>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8"/>
              </w:rPr>
              <w:t>固定日内价格、负荷与光伏预测，首尾 SOC 相等</w:t>
            </w:r>
          </w:p>
        </w:tc>
        <w:tc>
          <w:tcPr>
            <w:tcW w:type="dxa" w:w="2232"/>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8"/>
              </w:rPr>
              <w:t>144 时段确定性 LP</w:t>
            </w:r>
          </w:p>
        </w:tc>
        <w:tc>
          <w:tcPr>
            <w:tcW w:type="dxa" w:w="2520"/>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8"/>
              </w:rPr>
              <w:t>成本、SOC 边界、平衡残差</w:t>
            </w:r>
          </w:p>
        </w:tc>
      </w:tr>
      <w:tr>
        <w:tc>
          <w:tcPr>
            <w:tcW w:type="dxa" w:w="1152"/>
            <w:tcMar>
              <w:top w:w="110" w:type="dxa"/>
              <w:start w:w="120" w:type="dxa"/>
              <w:bottom w:w="110" w:type="dxa"/>
              <w:end w:w="120" w:type="dxa"/>
            </w:tcMar>
            <w:vAlign w:val="center"/>
            <w:shd w:fill="F3F7FA"/>
          </w:tcPr>
          <w:p>
            <w:pPr>
              <w:spacing w:after="0" w:line="276" w:lineRule="auto"/>
              <w:jc w:val="center"/>
            </w:pPr>
            <w:r>
              <w:rPr>
                <w:rFonts w:ascii="Arial" w:hAnsi="Arial" w:eastAsia="SimSun"/>
                <w:b w:val="0"/>
                <w:color w:val="000000"/>
                <w:sz w:val="18"/>
              </w:rPr>
              <w:t>问题二</w:t>
            </w:r>
          </w:p>
        </w:tc>
        <w:tc>
          <w:tcPr>
            <w:tcW w:type="dxa" w:w="3384"/>
            <w:tcMar>
              <w:top w:w="110" w:type="dxa"/>
              <w:start w:w="120" w:type="dxa"/>
              <w:bottom w:w="110" w:type="dxa"/>
              <w:end w:w="120" w:type="dxa"/>
            </w:tcMar>
            <w:vAlign w:val="center"/>
            <w:shd w:fill="F3F7FA"/>
          </w:tcPr>
          <w:p>
            <w:pPr>
              <w:spacing w:after="0" w:line="276" w:lineRule="auto"/>
              <w:jc w:val="left"/>
            </w:pPr>
            <w:r>
              <w:rPr>
                <w:rFonts w:ascii="Arial" w:hAnsi="Arial" w:eastAsia="SimSun"/>
                <w:b w:val="0"/>
                <w:color w:val="000000"/>
                <w:sz w:val="18"/>
              </w:rPr>
              <w:t>日前计划先发生，实际值后实现，不足按 5 倍应急购电</w:t>
            </w:r>
          </w:p>
        </w:tc>
        <w:tc>
          <w:tcPr>
            <w:tcW w:type="dxa" w:w="2232"/>
            <w:tcMar>
              <w:top w:w="110" w:type="dxa"/>
              <w:start w:w="120" w:type="dxa"/>
              <w:bottom w:w="110" w:type="dxa"/>
              <w:end w:w="120" w:type="dxa"/>
            </w:tcMar>
            <w:vAlign w:val="center"/>
            <w:shd w:fill="F3F7FA"/>
          </w:tcPr>
          <w:p>
            <w:pPr>
              <w:spacing w:after="0" w:line="276" w:lineRule="auto"/>
              <w:jc w:val="left"/>
            </w:pPr>
            <w:r>
              <w:rPr>
                <w:rFonts w:ascii="Arial" w:hAnsi="Arial" w:eastAsia="SimSun"/>
                <w:b w:val="0"/>
                <w:color w:val="000000"/>
                <w:sz w:val="18"/>
              </w:rPr>
              <w:t>两阶段随机规划或机会约束</w:t>
            </w:r>
          </w:p>
        </w:tc>
        <w:tc>
          <w:tcPr>
            <w:tcW w:type="dxa" w:w="2520"/>
            <w:tcMar>
              <w:top w:w="110" w:type="dxa"/>
              <w:start w:w="120" w:type="dxa"/>
              <w:bottom w:w="110" w:type="dxa"/>
              <w:end w:w="120" w:type="dxa"/>
            </w:tcMar>
            <w:vAlign w:val="center"/>
            <w:shd w:fill="F3F7FA"/>
          </w:tcPr>
          <w:p>
            <w:pPr>
              <w:spacing w:after="0" w:line="276" w:lineRule="auto"/>
              <w:jc w:val="left"/>
            </w:pPr>
            <w:r>
              <w:rPr>
                <w:rFonts w:ascii="Arial" w:hAnsi="Arial" w:eastAsia="SimSun"/>
                <w:b w:val="0"/>
                <w:color w:val="000000"/>
                <w:sz w:val="18"/>
              </w:rPr>
              <w:t>应急概率、应急成本、完美信息下界</w:t>
            </w:r>
          </w:p>
        </w:tc>
      </w:tr>
      <w:tr>
        <w:tc>
          <w:tcPr>
            <w:tcW w:type="dxa" w:w="1152"/>
            <w:tcMar>
              <w:top w:w="110" w:type="dxa"/>
              <w:start w:w="120" w:type="dxa"/>
              <w:bottom w:w="110" w:type="dxa"/>
              <w:end w:w="120" w:type="dxa"/>
            </w:tcMar>
            <w:vAlign w:val="center"/>
          </w:tcPr>
          <w:p>
            <w:pPr>
              <w:spacing w:after="0" w:line="276" w:lineRule="auto"/>
              <w:jc w:val="center"/>
            </w:pPr>
            <w:r>
              <w:rPr>
                <w:rFonts w:ascii="Arial" w:hAnsi="Arial" w:eastAsia="SimSun"/>
                <w:b w:val="0"/>
                <w:color w:val="000000"/>
                <w:sz w:val="18"/>
              </w:rPr>
              <w:t>问题三</w:t>
            </w:r>
          </w:p>
        </w:tc>
        <w:tc>
          <w:tcPr>
            <w:tcW w:type="dxa" w:w="3384"/>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8"/>
              </w:rPr>
              <w:t>0 6 12 18 时获得新预测，已执行决策不可回溯</w:t>
            </w:r>
          </w:p>
        </w:tc>
        <w:tc>
          <w:tcPr>
            <w:tcW w:type="dxa" w:w="2232"/>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8"/>
              </w:rPr>
              <w:t>滚动时域 MPC</w:t>
            </w:r>
          </w:p>
        </w:tc>
        <w:tc>
          <w:tcPr>
            <w:tcW w:type="dxa" w:w="2520"/>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8"/>
              </w:rPr>
              <w:t>调整前后成本及预测误差下降</w:t>
            </w:r>
          </w:p>
        </w:tc>
      </w:tr>
      <w:tr>
        <w:tc>
          <w:tcPr>
            <w:tcW w:type="dxa" w:w="1152"/>
            <w:tcMar>
              <w:top w:w="110" w:type="dxa"/>
              <w:start w:w="120" w:type="dxa"/>
              <w:bottom w:w="110" w:type="dxa"/>
              <w:end w:w="120" w:type="dxa"/>
            </w:tcMar>
            <w:vAlign w:val="center"/>
            <w:shd w:fill="F3F7FA"/>
          </w:tcPr>
          <w:p>
            <w:pPr>
              <w:spacing w:after="0" w:line="276" w:lineRule="auto"/>
              <w:jc w:val="center"/>
            </w:pPr>
            <w:r>
              <w:rPr>
                <w:rFonts w:ascii="Arial" w:hAnsi="Arial" w:eastAsia="SimSun"/>
                <w:b w:val="0"/>
                <w:color w:val="000000"/>
                <w:sz w:val="18"/>
              </w:rPr>
              <w:t>问题四</w:t>
            </w:r>
          </w:p>
        </w:tc>
        <w:tc>
          <w:tcPr>
            <w:tcW w:type="dxa" w:w="3384"/>
            <w:tcMar>
              <w:top w:w="110" w:type="dxa"/>
              <w:start w:w="120" w:type="dxa"/>
              <w:bottom w:w="110" w:type="dxa"/>
              <w:end w:w="120" w:type="dxa"/>
            </w:tcMar>
            <w:vAlign w:val="center"/>
            <w:shd w:fill="F3F7FA"/>
          </w:tcPr>
          <w:p>
            <w:pPr>
              <w:spacing w:after="0" w:line="276" w:lineRule="auto"/>
              <w:jc w:val="left"/>
            </w:pPr>
            <w:r>
              <w:rPr>
                <w:rFonts w:ascii="Arial" w:hAnsi="Arial" w:eastAsia="SimSun"/>
                <w:b w:val="0"/>
                <w:color w:val="000000"/>
                <w:sz w:val="18"/>
              </w:rPr>
              <w:t>电价随日期和时段变化</w:t>
            </w:r>
          </w:p>
        </w:tc>
        <w:tc>
          <w:tcPr>
            <w:tcW w:type="dxa" w:w="2232"/>
            <w:tcMar>
              <w:top w:w="110" w:type="dxa"/>
              <w:start w:w="120" w:type="dxa"/>
              <w:bottom w:w="110" w:type="dxa"/>
              <w:end w:w="120" w:type="dxa"/>
            </w:tcMar>
            <w:vAlign w:val="center"/>
            <w:shd w:fill="F3F7FA"/>
          </w:tcPr>
          <w:p>
            <w:pPr>
              <w:spacing w:after="0" w:line="276" w:lineRule="auto"/>
              <w:jc w:val="left"/>
            </w:pPr>
            <w:r>
              <w:rPr>
                <w:rFonts w:ascii="Arial" w:hAnsi="Arial" w:eastAsia="SimSun"/>
                <w:b w:val="0"/>
                <w:color w:val="000000"/>
                <w:sz w:val="18"/>
              </w:rPr>
              <w:t>价格感知滚动 MPC</w:t>
            </w:r>
          </w:p>
        </w:tc>
        <w:tc>
          <w:tcPr>
            <w:tcW w:type="dxa" w:w="2520"/>
            <w:tcMar>
              <w:top w:w="110" w:type="dxa"/>
              <w:start w:w="120" w:type="dxa"/>
              <w:bottom w:w="110" w:type="dxa"/>
              <w:end w:w="120" w:type="dxa"/>
            </w:tcMar>
            <w:vAlign w:val="center"/>
            <w:shd w:fill="F3F7FA"/>
          </w:tcPr>
          <w:p>
            <w:pPr>
              <w:spacing w:after="0" w:line="276" w:lineRule="auto"/>
              <w:jc w:val="left"/>
            </w:pPr>
            <w:r>
              <w:rPr>
                <w:rFonts w:ascii="Arial" w:hAnsi="Arial" w:eastAsia="SimSun"/>
                <w:b w:val="0"/>
                <w:color w:val="000000"/>
                <w:sz w:val="18"/>
              </w:rPr>
              <w:t>峰谷套利、固定价格与实时价格对比</w:t>
            </w:r>
          </w:p>
        </w:tc>
      </w:tr>
    </w:tbl>
    <w:p>
      <w:pPr>
        <w:spacing w:after="20"/>
      </w:pPr>
    </w:p>
    <w:p>
      <w:pPr>
        <w:pStyle w:val="Heading1"/>
        <w:keepNext/>
      </w:pPr>
      <w:r>
        <w:t>二 完整路线比较</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1008"/>
            <w:shd w:fill="1F4E78"/>
            <w:tcMar>
              <w:top w:w="110" w:type="dxa"/>
              <w:start w:w="120" w:type="dxa"/>
              <w:bottom w:w="110" w:type="dxa"/>
              <w:end w:w="120" w:type="dxa"/>
            </w:tcMar>
            <w:vAlign w:val="center"/>
          </w:tcPr>
          <w:p>
            <w:pPr>
              <w:spacing w:after="0"/>
              <w:jc w:val="center"/>
            </w:pPr>
            <w:r>
              <w:rPr>
                <w:rFonts w:ascii="Arial" w:hAnsi="Arial" w:eastAsia="Microsoft YaHei"/>
                <w:b/>
                <w:color w:val="FFFFFF"/>
                <w:sz w:val="18"/>
              </w:rPr>
              <w:t>路线</w:t>
            </w:r>
          </w:p>
        </w:tc>
        <w:tc>
          <w:tcPr>
            <w:tcW w:type="dxa" w:w="3240"/>
            <w:shd w:fill="1F4E78"/>
            <w:tcMar>
              <w:top w:w="110" w:type="dxa"/>
              <w:start w:w="120" w:type="dxa"/>
              <w:bottom w:w="110" w:type="dxa"/>
              <w:end w:w="120" w:type="dxa"/>
            </w:tcMar>
            <w:vAlign w:val="center"/>
          </w:tcPr>
          <w:p>
            <w:pPr>
              <w:spacing w:after="0"/>
              <w:jc w:val="center"/>
            </w:pPr>
            <w:r>
              <w:rPr>
                <w:rFonts w:ascii="Arial" w:hAnsi="Arial" w:eastAsia="Microsoft YaHei"/>
                <w:b/>
                <w:color w:val="FFFFFF"/>
                <w:sz w:val="18"/>
              </w:rPr>
              <w:t>方法组合</w:t>
            </w:r>
          </w:p>
        </w:tc>
        <w:tc>
          <w:tcPr>
            <w:tcW w:type="dxa" w:w="2880"/>
            <w:shd w:fill="1F4E78"/>
            <w:tcMar>
              <w:top w:w="110" w:type="dxa"/>
              <w:start w:w="120" w:type="dxa"/>
              <w:bottom w:w="110" w:type="dxa"/>
              <w:end w:w="120" w:type="dxa"/>
            </w:tcMar>
            <w:vAlign w:val="center"/>
          </w:tcPr>
          <w:p>
            <w:pPr>
              <w:spacing w:after="0"/>
              <w:jc w:val="center"/>
            </w:pPr>
            <w:r>
              <w:rPr>
                <w:rFonts w:ascii="Arial" w:hAnsi="Arial" w:eastAsia="Microsoft YaHei"/>
                <w:b/>
                <w:color w:val="FFFFFF"/>
                <w:sz w:val="18"/>
              </w:rPr>
              <w:t>主要优点</w:t>
            </w:r>
          </w:p>
        </w:tc>
        <w:tc>
          <w:tcPr>
            <w:tcW w:type="dxa" w:w="2232"/>
            <w:shd w:fill="1F4E78"/>
            <w:tcMar>
              <w:top w:w="110" w:type="dxa"/>
              <w:start w:w="120" w:type="dxa"/>
              <w:bottom w:w="110" w:type="dxa"/>
              <w:end w:w="120" w:type="dxa"/>
            </w:tcMar>
            <w:vAlign w:val="center"/>
          </w:tcPr>
          <w:p>
            <w:pPr>
              <w:spacing w:after="0"/>
              <w:jc w:val="center"/>
            </w:pPr>
            <w:r>
              <w:rPr>
                <w:rFonts w:ascii="Arial" w:hAnsi="Arial" w:eastAsia="Microsoft YaHei"/>
                <w:b/>
                <w:color w:val="FFFFFF"/>
                <w:sz w:val="18"/>
              </w:rPr>
              <w:t>主要风险</w:t>
            </w:r>
          </w:p>
        </w:tc>
      </w:tr>
      <w:tr>
        <w:tc>
          <w:tcPr>
            <w:tcW w:type="dxa" w:w="1008"/>
            <w:tcMar>
              <w:top w:w="110" w:type="dxa"/>
              <w:start w:w="120" w:type="dxa"/>
              <w:bottom w:w="110" w:type="dxa"/>
              <w:end w:w="120" w:type="dxa"/>
            </w:tcMar>
            <w:vAlign w:val="center"/>
          </w:tcPr>
          <w:p>
            <w:pPr>
              <w:spacing w:after="0" w:line="276" w:lineRule="auto"/>
              <w:jc w:val="center"/>
            </w:pPr>
            <w:r>
              <w:rPr>
                <w:rFonts w:ascii="Arial" w:hAnsi="Arial" w:eastAsia="SimSun"/>
                <w:b w:val="0"/>
                <w:color w:val="000000"/>
                <w:sz w:val="17"/>
              </w:rPr>
              <w:t>H 推荐</w:t>
            </w:r>
          </w:p>
        </w:tc>
        <w:tc>
          <w:tcPr>
            <w:tcW w:type="dxa" w:w="3240"/>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7"/>
              </w:rPr>
              <w:t>Q1 LP；Q2 随机或机会约束；Q3 MPC；Q4 价格感知 MPC</w:t>
            </w:r>
          </w:p>
        </w:tc>
        <w:tc>
          <w:tcPr>
            <w:tcW w:type="dxa" w:w="2880"/>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7"/>
              </w:rPr>
              <w:t>四问递进自然；可解释；计算量适中；应急机制不会退化</w:t>
            </w:r>
          </w:p>
        </w:tc>
        <w:tc>
          <w:tcPr>
            <w:tcW w:type="dxa" w:w="2232"/>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7"/>
              </w:rPr>
              <w:t>需明确 Q2 信息集和 Q3 减购结算；风险参数要做灵敏度分析</w:t>
            </w:r>
          </w:p>
        </w:tc>
      </w:tr>
      <w:tr>
        <w:tc>
          <w:tcPr>
            <w:tcW w:type="dxa" w:w="1008"/>
            <w:tcMar>
              <w:top w:w="110" w:type="dxa"/>
              <w:start w:w="120" w:type="dxa"/>
              <w:bottom w:w="110" w:type="dxa"/>
              <w:end w:w="120" w:type="dxa"/>
            </w:tcMar>
            <w:vAlign w:val="center"/>
            <w:shd w:fill="F3F7FA"/>
          </w:tcPr>
          <w:p>
            <w:pPr>
              <w:spacing w:after="0" w:line="276" w:lineRule="auto"/>
              <w:jc w:val="center"/>
            </w:pPr>
            <w:r>
              <w:rPr>
                <w:rFonts w:ascii="Arial" w:hAnsi="Arial" w:eastAsia="SimSun"/>
                <w:b w:val="0"/>
                <w:color w:val="000000"/>
                <w:sz w:val="17"/>
              </w:rPr>
              <w:t>D 稳妥</w:t>
            </w:r>
          </w:p>
        </w:tc>
        <w:tc>
          <w:tcPr>
            <w:tcW w:type="dxa" w:w="3240"/>
            <w:tcMar>
              <w:top w:w="110" w:type="dxa"/>
              <w:start w:w="120" w:type="dxa"/>
              <w:bottom w:w="110" w:type="dxa"/>
              <w:end w:w="120" w:type="dxa"/>
            </w:tcMar>
            <w:vAlign w:val="center"/>
            <w:shd w:fill="F3F7FA"/>
          </w:tcPr>
          <w:p>
            <w:pPr>
              <w:spacing w:after="0" w:line="276" w:lineRule="auto"/>
              <w:jc w:val="left"/>
            </w:pPr>
            <w:r>
              <w:rPr>
                <w:rFonts w:ascii="Arial" w:hAnsi="Arial" w:eastAsia="SimSun"/>
                <w:b w:val="0"/>
                <w:color w:val="000000"/>
                <w:sz w:val="17"/>
              </w:rPr>
              <w:t>Q1 Q2 逐日确定性 LP；Q3 Q4 确定性 MPC</w:t>
            </w:r>
          </w:p>
        </w:tc>
        <w:tc>
          <w:tcPr>
            <w:tcW w:type="dxa" w:w="2880"/>
            <w:tcMar>
              <w:top w:w="110" w:type="dxa"/>
              <w:start w:w="120" w:type="dxa"/>
              <w:bottom w:w="110" w:type="dxa"/>
              <w:end w:w="120" w:type="dxa"/>
            </w:tcMar>
            <w:vAlign w:val="center"/>
            <w:shd w:fill="F3F7FA"/>
          </w:tcPr>
          <w:p>
            <w:pPr>
              <w:spacing w:after="0" w:line="276" w:lineRule="auto"/>
              <w:jc w:val="left"/>
            </w:pPr>
            <w:r>
              <w:rPr>
                <w:rFonts w:ascii="Arial" w:hAnsi="Arial" w:eastAsia="SimSun"/>
                <w:b w:val="0"/>
                <w:color w:val="000000"/>
                <w:sz w:val="17"/>
              </w:rPr>
              <w:t>求解稳定、速度快、容易复现和回填模板</w:t>
            </w:r>
          </w:p>
        </w:tc>
        <w:tc>
          <w:tcPr>
            <w:tcW w:type="dxa" w:w="2232"/>
            <w:tcMar>
              <w:top w:w="110" w:type="dxa"/>
              <w:start w:w="120" w:type="dxa"/>
              <w:bottom w:w="110" w:type="dxa"/>
              <w:end w:w="120" w:type="dxa"/>
            </w:tcMar>
            <w:vAlign w:val="center"/>
            <w:shd w:fill="F3F7FA"/>
          </w:tcPr>
          <w:p>
            <w:pPr>
              <w:spacing w:after="0" w:line="276" w:lineRule="auto"/>
              <w:jc w:val="left"/>
            </w:pPr>
            <w:r>
              <w:rPr>
                <w:rFonts w:ascii="Arial" w:hAnsi="Arial" w:eastAsia="SimSun"/>
                <w:b w:val="0"/>
                <w:color w:val="000000"/>
                <w:sz w:val="17"/>
              </w:rPr>
              <w:t>Q2 应急购电可能恒为零；创新性较弱</w:t>
            </w:r>
          </w:p>
        </w:tc>
      </w:tr>
      <w:tr>
        <w:tc>
          <w:tcPr>
            <w:tcW w:type="dxa" w:w="1008"/>
            <w:tcMar>
              <w:top w:w="110" w:type="dxa"/>
              <w:start w:w="120" w:type="dxa"/>
              <w:bottom w:w="110" w:type="dxa"/>
              <w:end w:w="120" w:type="dxa"/>
            </w:tcMar>
            <w:vAlign w:val="center"/>
          </w:tcPr>
          <w:p>
            <w:pPr>
              <w:spacing w:after="0" w:line="276" w:lineRule="auto"/>
              <w:jc w:val="center"/>
            </w:pPr>
            <w:r>
              <w:rPr>
                <w:rFonts w:ascii="Arial" w:hAnsi="Arial" w:eastAsia="SimSun"/>
                <w:b w:val="0"/>
                <w:color w:val="000000"/>
                <w:sz w:val="17"/>
              </w:rPr>
              <w:t>S 进阶</w:t>
            </w:r>
          </w:p>
        </w:tc>
        <w:tc>
          <w:tcPr>
            <w:tcW w:type="dxa" w:w="3240"/>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7"/>
              </w:rPr>
              <w:t>Q2 两阶段 SAA；Q3 Q4 多阶段随机 MPC 或 CVaR</w:t>
            </w:r>
          </w:p>
        </w:tc>
        <w:tc>
          <w:tcPr>
            <w:tcW w:type="dxa" w:w="2880"/>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7"/>
              </w:rPr>
              <w:t>能分析应急概率和尾部成本；创新空间较大</w:t>
            </w:r>
          </w:p>
        </w:tc>
        <w:tc>
          <w:tcPr>
            <w:tcW w:type="dxa" w:w="2232"/>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7"/>
              </w:rPr>
              <w:t>情景树膨胀；参数和验证负担较重</w:t>
            </w:r>
          </w:p>
        </w:tc>
      </w:tr>
      <w:tr>
        <w:tc>
          <w:tcPr>
            <w:tcW w:type="dxa" w:w="1008"/>
            <w:tcMar>
              <w:top w:w="110" w:type="dxa"/>
              <w:start w:w="120" w:type="dxa"/>
              <w:bottom w:w="110" w:type="dxa"/>
              <w:end w:w="120" w:type="dxa"/>
            </w:tcMar>
            <w:vAlign w:val="center"/>
            <w:shd w:fill="F3F7FA"/>
          </w:tcPr>
          <w:p>
            <w:pPr>
              <w:spacing w:after="0" w:line="276" w:lineRule="auto"/>
              <w:jc w:val="center"/>
            </w:pPr>
            <w:r>
              <w:rPr>
                <w:rFonts w:ascii="Arial" w:hAnsi="Arial" w:eastAsia="SimSun"/>
                <w:b w:val="0"/>
                <w:color w:val="000000"/>
                <w:sz w:val="17"/>
              </w:rPr>
              <w:t>R 鲁棒</w:t>
            </w:r>
          </w:p>
        </w:tc>
        <w:tc>
          <w:tcPr>
            <w:tcW w:type="dxa" w:w="3240"/>
            <w:tcMar>
              <w:top w:w="110" w:type="dxa"/>
              <w:start w:w="120" w:type="dxa"/>
              <w:bottom w:w="110" w:type="dxa"/>
              <w:end w:w="120" w:type="dxa"/>
            </w:tcMar>
            <w:vAlign w:val="center"/>
            <w:shd w:fill="F3F7FA"/>
          </w:tcPr>
          <w:p>
            <w:pPr>
              <w:spacing w:after="0" w:line="276" w:lineRule="auto"/>
              <w:jc w:val="left"/>
            </w:pPr>
            <w:r>
              <w:rPr>
                <w:rFonts w:ascii="Arial" w:hAnsi="Arial" w:eastAsia="SimSun"/>
                <w:b w:val="0"/>
                <w:color w:val="000000"/>
                <w:sz w:val="17"/>
              </w:rPr>
              <w:t>区间鲁棒或分布鲁棒滚动优化</w:t>
            </w:r>
          </w:p>
        </w:tc>
        <w:tc>
          <w:tcPr>
            <w:tcW w:type="dxa" w:w="2880"/>
            <w:tcMar>
              <w:top w:w="110" w:type="dxa"/>
              <w:start w:w="120" w:type="dxa"/>
              <w:bottom w:w="110" w:type="dxa"/>
              <w:end w:w="120" w:type="dxa"/>
            </w:tcMar>
            <w:vAlign w:val="center"/>
            <w:shd w:fill="F3F7FA"/>
          </w:tcPr>
          <w:p>
            <w:pPr>
              <w:spacing w:after="0" w:line="276" w:lineRule="auto"/>
              <w:jc w:val="left"/>
            </w:pPr>
            <w:r>
              <w:rPr>
                <w:rFonts w:ascii="Arial" w:hAnsi="Arial" w:eastAsia="SimSun"/>
                <w:b w:val="0"/>
                <w:color w:val="000000"/>
                <w:sz w:val="17"/>
              </w:rPr>
              <w:t>极端光伏和价格情形下安全性较强</w:t>
            </w:r>
          </w:p>
        </w:tc>
        <w:tc>
          <w:tcPr>
            <w:tcW w:type="dxa" w:w="2232"/>
            <w:tcMar>
              <w:top w:w="110" w:type="dxa"/>
              <w:start w:w="120" w:type="dxa"/>
              <w:bottom w:w="110" w:type="dxa"/>
              <w:end w:w="120" w:type="dxa"/>
            </w:tcMar>
            <w:vAlign w:val="center"/>
            <w:shd w:fill="F3F7FA"/>
          </w:tcPr>
          <w:p>
            <w:pPr>
              <w:spacing w:after="0" w:line="276" w:lineRule="auto"/>
              <w:jc w:val="left"/>
            </w:pPr>
            <w:r>
              <w:rPr>
                <w:rFonts w:ascii="Arial" w:hAnsi="Arial" w:eastAsia="SimSun"/>
                <w:b w:val="0"/>
                <w:color w:val="000000"/>
                <w:sz w:val="17"/>
              </w:rPr>
              <w:t>可能过度购电；不确定集半径不易说明</w:t>
            </w:r>
          </w:p>
        </w:tc>
      </w:tr>
      <w:tr>
        <w:tc>
          <w:tcPr>
            <w:tcW w:type="dxa" w:w="1008"/>
            <w:tcMar>
              <w:top w:w="110" w:type="dxa"/>
              <w:start w:w="120" w:type="dxa"/>
              <w:bottom w:w="110" w:type="dxa"/>
              <w:end w:w="120" w:type="dxa"/>
            </w:tcMar>
            <w:vAlign w:val="center"/>
          </w:tcPr>
          <w:p>
            <w:pPr>
              <w:spacing w:after="0" w:line="276" w:lineRule="auto"/>
              <w:jc w:val="center"/>
            </w:pPr>
            <w:r>
              <w:rPr>
                <w:rFonts w:ascii="Arial" w:hAnsi="Arial" w:eastAsia="SimSun"/>
                <w:b w:val="0"/>
                <w:color w:val="000000"/>
                <w:sz w:val="17"/>
              </w:rPr>
              <w:t>DP</w:t>
            </w:r>
          </w:p>
        </w:tc>
        <w:tc>
          <w:tcPr>
            <w:tcW w:type="dxa" w:w="3240"/>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7"/>
              </w:rPr>
              <w:t>离散 SOC 的动态规划或随机动态规划</w:t>
            </w:r>
          </w:p>
        </w:tc>
        <w:tc>
          <w:tcPr>
            <w:tcW w:type="dxa" w:w="2880"/>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7"/>
              </w:rPr>
              <w:t>状态与动作关系直观；能处理非凸操作规则</w:t>
            </w:r>
          </w:p>
        </w:tc>
        <w:tc>
          <w:tcPr>
            <w:tcW w:type="dxa" w:w="2232"/>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7"/>
              </w:rPr>
              <w:t>存在离散误差和维数灾难；效率低于 LP</w:t>
            </w:r>
          </w:p>
        </w:tc>
      </w:tr>
    </w:tbl>
    <w:p>
      <w:pPr>
        <w:spacing w:after="20"/>
      </w:pPr>
    </w:p>
    <w:p>
      <w:pPr>
        <w:keepLines/>
        <w:spacing w:before="0" w:after="100" w:line="324" w:lineRule="auto"/>
      </w:pPr>
      <w:r>
        <w:rPr>
          <w:rFonts w:ascii="Arial" w:hAnsi="Arial" w:eastAsia="SimSun"/>
          <w:b w:val="0"/>
          <w:color w:val="000000"/>
          <w:sz w:val="22"/>
        </w:rPr>
        <w:t>遗传算法、粒子群和强化学习不建议作为主模型。本题的状态转移与成本结构已明确，线性或凸优化可以直接得到稳定解。启发式方法会增加随机性，强化学习还需要大量训练样本，并且更难证明约束始终满足。</w:t>
      </w:r>
    </w:p>
    <w:p>
      <w:pPr>
        <w:pStyle w:val="Heading1"/>
        <w:keepNext/>
      </w:pPr>
      <w:r>
        <w:t>三 问题一候选方法</w:t>
      </w:r>
    </w:p>
    <w:p>
      <w:pPr>
        <w:pStyle w:val="Heading2"/>
        <w:keepNext/>
      </w:pPr>
      <w:r>
        <w:t>方案 Q1 A 144 时段线性规划</w:t>
      </w:r>
    </w:p>
    <w:p>
      <w:pPr>
        <w:keepLines/>
        <w:spacing w:before="0" w:after="100" w:line="324" w:lineRule="auto"/>
        <w:ind w:firstLine="440"/>
      </w:pPr>
      <w:r>
        <w:rPr>
          <w:rFonts w:ascii="Arial" w:hAnsi="Arial" w:eastAsia="SimSun"/>
          <w:b w:val="0"/>
          <w:color w:val="000000"/>
          <w:sz w:val="22"/>
        </w:rPr>
        <w:t>以 10 分钟为一个时段，共 144 个时段。决策变量包括计划购电、充电、放电、SOC 和弃光。目标是最小化全天购电成本，同时满足能量平衡、SOC 上下限、充放电功率和日初日末 SOC 相等。最大充放电功率为 5000 kW，换算为每个 10 分钟时段的最大能量为 833.333 kWh。</w:t>
      </w:r>
    </w:p>
    <w:p>
      <w:pPr>
        <w:keepLines/>
        <w:spacing w:before="0" w:after="100" w:line="324" w:lineRule="auto"/>
        <w:ind w:firstLine="440"/>
      </w:pPr>
      <w:r>
        <w:rPr>
          <w:rFonts w:ascii="Arial" w:hAnsi="Arial" w:eastAsia="SimSun"/>
          <w:b/>
          <w:color w:val="000000"/>
          <w:sz w:val="22"/>
        </w:rPr>
        <w:t>选择理由：</w:t>
      </w:r>
      <w:r>
        <w:rPr>
          <w:rFonts w:ascii="Arial" w:hAnsi="Arial" w:eastAsia="SimSun"/>
          <w:b w:val="0"/>
          <w:color w:val="000000"/>
          <w:sz w:val="22"/>
        </w:rPr>
        <w:t>题目中的核心约束和成本均为线性关系，LP 能获得全局最优解，计算速度快，且便于检查每个时段的能量平衡残差。该模型还能直接成为后三问的物理骨架。</w:t>
      </w:r>
    </w:p>
    <w:p>
      <w:pPr>
        <w:pStyle w:val="Heading2"/>
        <w:keepNext/>
      </w:pPr>
      <w:r>
        <w:t>方案 Q1 B 混合整数线性规划</w:t>
      </w:r>
    </w:p>
    <w:p>
      <w:pPr>
        <w:keepLines/>
        <w:spacing w:before="0" w:after="100" w:line="324" w:lineRule="auto"/>
        <w:ind w:firstLine="440"/>
      </w:pPr>
      <w:r>
        <w:rPr>
          <w:rFonts w:ascii="Arial" w:hAnsi="Arial" w:eastAsia="SimSun"/>
          <w:b w:val="0"/>
          <w:color w:val="000000"/>
          <w:sz w:val="22"/>
        </w:rPr>
        <w:t>在 LP 基础上增加充电模式和放电模式的二元变量，严格禁止同一时段同时充放电。该方案物理含义更严格，但求解量更大。由于电价为正且充放电存在能量损耗，LP 最优解通常不会产生无意义的同时充放电，因此建议先求 LP，仅在检查发现该现象时再升级为 MILP。</w:t>
      </w:r>
    </w:p>
    <w:p>
      <w:pPr>
        <w:pStyle w:val="Heading2"/>
        <w:keepNext/>
      </w:pPr>
      <w:r>
        <w:t>方案 Q1 C SOC 离散动态规划</w:t>
      </w:r>
    </w:p>
    <w:p>
      <w:pPr>
        <w:keepLines/>
        <w:spacing w:before="0" w:after="100" w:line="324" w:lineRule="auto"/>
        <w:ind w:firstLine="440"/>
      </w:pPr>
      <w:r>
        <w:rPr>
          <w:rFonts w:ascii="Arial" w:hAnsi="Arial" w:eastAsia="SimSun"/>
          <w:b w:val="0"/>
          <w:color w:val="000000"/>
          <w:sz w:val="22"/>
        </w:rPr>
        <w:t>将 SOC 划分为若干档位，枚举每个时段的充放电动作并进行递推。优点是状态转移直观，缺点是存在离散误差，档位越细计算量越大。本题没有必须依赖动态规划处理的非凸规则，因此更适合作为交叉核验模型。</w:t>
      </w:r>
    </w:p>
    <w:p>
      <w:pPr>
        <w:pStyle w:val="Heading2"/>
        <w:keepNext/>
      </w:pPr>
      <w:r>
        <w:t>问题一建议</w:t>
      </w:r>
    </w:p>
    <w:p>
      <w:pPr>
        <w:keepLines/>
        <w:spacing w:before="0" w:after="100" w:line="324" w:lineRule="auto"/>
      </w:pPr>
      <w:r>
        <w:rPr>
          <w:rFonts w:ascii="Arial" w:hAnsi="Arial" w:eastAsia="SimSun"/>
          <w:b w:val="0"/>
          <w:color w:val="000000"/>
          <w:sz w:val="22"/>
        </w:rPr>
        <w:t>主模型选择 Q1 A。先通过 LP 确定最低成本和储能运行规律，再检查是否同时充放电；如有，再用 Q1 B 修正。Q1 C 仅用于小规模结果对照。</w:t>
      </w:r>
    </w:p>
    <w:p>
      <w:pPr>
        <w:pStyle w:val="Heading1"/>
        <w:keepNext/>
      </w:pPr>
      <w:r>
        <w:t>四 问题二候选方法</w:t>
      </w:r>
    </w:p>
    <w:p>
      <w:pPr>
        <w:keepLines/>
        <w:spacing w:before="0" w:after="100" w:line="324" w:lineRule="auto"/>
        <w:ind w:firstLine="440"/>
      </w:pPr>
      <w:r>
        <w:rPr>
          <w:rFonts w:ascii="Arial" w:hAnsi="Arial" w:eastAsia="SimSun"/>
          <w:b w:val="0"/>
          <w:color w:val="000000"/>
          <w:sz w:val="22"/>
        </w:rPr>
        <w:t>问题二首先需要解释每天 0 时能够掌握哪些信息。若附件二中的全天实际负荷和光伏在 0 时已完全可知，正常购电始终比 5 倍应急购电便宜，最优方案会提前买足电量，应急购电理论上退化为零。因此，确定性模型应保留为完美信息成本下界，但不宜作为唯一主结果。</w:t>
      </w:r>
    </w:p>
    <w:p>
      <w:pPr>
        <w:pStyle w:val="Heading2"/>
        <w:keepNext/>
      </w:pPr>
      <w:r>
        <w:t>方案 Q2 A 逐日确定性线性规划</w:t>
      </w:r>
    </w:p>
    <w:p>
      <w:pPr>
        <w:keepLines/>
        <w:spacing w:before="0" w:after="100" w:line="324" w:lineRule="auto"/>
        <w:ind w:firstLine="440"/>
      </w:pPr>
      <w:r>
        <w:rPr>
          <w:rFonts w:ascii="Arial" w:hAnsi="Arial" w:eastAsia="SimSun"/>
          <w:b w:val="0"/>
          <w:color w:val="000000"/>
          <w:sz w:val="22"/>
        </w:rPr>
        <w:t>将附件二中的每日实际负荷与实际光伏视为已知，每天独立求解。它的优点是稳定、透明、可提供理论最低成本；局限是无法体现日前预测误差和应急购电风险。</w:t>
      </w:r>
    </w:p>
    <w:p>
      <w:pPr>
        <w:pStyle w:val="Heading2"/>
        <w:keepNext/>
      </w:pPr>
      <w:r>
        <w:t>方案 Q2 B 两阶段随机规划</w:t>
      </w:r>
    </w:p>
    <w:p>
      <w:pPr>
        <w:keepLines/>
        <w:spacing w:before="0" w:after="100" w:line="324" w:lineRule="auto"/>
        <w:ind w:firstLine="440"/>
      </w:pPr>
      <w:r>
        <w:rPr>
          <w:rFonts w:ascii="Arial" w:hAnsi="Arial" w:eastAsia="SimSun"/>
          <w:b w:val="0"/>
          <w:color w:val="000000"/>
          <w:sz w:val="22"/>
        </w:rPr>
        <w:t>第一阶段在 0 时确定计划购电和计划储能策略；第二阶段在实际负荷与光伏实现后计算应急购电。利用历史相似日期或经验误差生成多个净负荷情景，最小化计划成本与期望应急成本之和。</w:t>
      </w:r>
    </w:p>
    <w:p>
      <w:pPr>
        <w:keepLines/>
        <w:spacing w:before="0" w:after="100" w:line="324" w:lineRule="auto"/>
        <w:ind w:firstLine="440"/>
      </w:pPr>
      <w:r>
        <w:rPr>
          <w:rFonts w:ascii="Arial" w:hAnsi="Arial" w:eastAsia="SimSun"/>
          <w:b/>
          <w:color w:val="000000"/>
          <w:sz w:val="22"/>
        </w:rPr>
        <w:t>选择理由：</w:t>
      </w:r>
      <w:r>
        <w:rPr>
          <w:rFonts w:ascii="Arial" w:hAnsi="Arial" w:eastAsia="SimSun"/>
          <w:b w:val="0"/>
          <w:color w:val="000000"/>
          <w:sz w:val="22"/>
        </w:rPr>
        <w:t>题目明确区分了 0 时计划和实际供电不足后的 5 倍应急购电，这正对应先决策、后观察、再追索的两阶段结构。该模型可以输出应急概率、次数、能量和成本。</w:t>
      </w:r>
    </w:p>
    <w:p>
      <w:pPr>
        <w:pStyle w:val="Heading2"/>
        <w:keepNext/>
      </w:pPr>
      <w:r>
        <w:t>方案 Q2 C 机会约束和分位数安全裕度</w:t>
      </w:r>
    </w:p>
    <w:p>
      <w:pPr>
        <w:keepLines/>
        <w:spacing w:before="0" w:after="100" w:line="324" w:lineRule="auto"/>
        <w:ind w:firstLine="440"/>
      </w:pPr>
      <w:r>
        <w:rPr>
          <w:rFonts w:ascii="Arial" w:hAnsi="Arial" w:eastAsia="SimSun"/>
          <w:b w:val="0"/>
          <w:color w:val="000000"/>
          <w:sz w:val="22"/>
        </w:rPr>
        <w:t>要求供电充足的概率不低于给定置信水平，或根据净负荷预测误差分位数为计划购电增加动态安全裕度。该方法比完整情景模型简单，能够直接展示多买电成本与应急风险之间的权衡。置信水平应通过多个候选值比较后确定。</w:t>
      </w:r>
    </w:p>
    <w:p>
      <w:pPr>
        <w:pStyle w:val="Heading2"/>
        <w:keepNext/>
      </w:pPr>
      <w:r>
        <w:t>方案 Q2 D 鲁棒优化</w:t>
      </w:r>
    </w:p>
    <w:p>
      <w:pPr>
        <w:keepLines/>
        <w:spacing w:before="0" w:after="100" w:line="324" w:lineRule="auto"/>
        <w:ind w:firstLine="440"/>
      </w:pPr>
      <w:r>
        <w:rPr>
          <w:rFonts w:ascii="Arial" w:hAnsi="Arial" w:eastAsia="SimSun"/>
          <w:b w:val="0"/>
          <w:color w:val="000000"/>
          <w:sz w:val="22"/>
        </w:rPr>
        <w:t>要求策略在设定的负荷与光伏误差区间内始终可行。它适合强调极端情况下的供电安全，但通常会导致过度购电。建议作为 Q2 B 或 Q2 C 的稳健性对照。</w:t>
      </w:r>
    </w:p>
    <w:p>
      <w:pPr>
        <w:pStyle w:val="Heading2"/>
        <w:keepNext/>
      </w:pPr>
      <w:r>
        <w:t>问题二建议</w:t>
      </w:r>
    </w:p>
    <w:p>
      <w:pPr>
        <w:keepLines/>
        <w:spacing w:before="0" w:after="100" w:line="324" w:lineRule="auto"/>
      </w:pPr>
      <w:r>
        <w:rPr>
          <w:rFonts w:ascii="Arial" w:hAnsi="Arial" w:eastAsia="SimSun"/>
          <w:b w:val="0"/>
          <w:color w:val="000000"/>
          <w:sz w:val="22"/>
        </w:rPr>
        <w:t>采用双层结果：Q2 A 给出完美信息下界，Q2 B 或 Q2 C 作为主模型。若队伍希望兼顾效果和可解释性，优先选择 Q2 C；若希望加强创新与风险分析，选择 Q2 B。</w:t>
      </w:r>
    </w:p>
    <w:p>
      <w:pPr>
        <w:pStyle w:val="Heading1"/>
        <w:keepNext/>
      </w:pPr>
      <w:r>
        <w:t>五 问题三候选方法</w:t>
      </w:r>
    </w:p>
    <w:p>
      <w:pPr>
        <w:pStyle w:val="Heading2"/>
        <w:keepNext/>
      </w:pPr>
      <w:r>
        <w:t>方案 Q3 A 确定性滚动时域 MPC</w:t>
      </w:r>
    </w:p>
    <w:p>
      <w:pPr>
        <w:keepLines/>
        <w:spacing w:before="0" w:after="100" w:line="324" w:lineRule="auto"/>
        <w:ind w:firstLine="440"/>
      </w:pPr>
      <w:r>
        <w:rPr>
          <w:rFonts w:ascii="Arial" w:hAnsi="Arial" w:eastAsia="SimSun"/>
          <w:b w:val="0"/>
          <w:color w:val="000000"/>
          <w:sz w:val="22"/>
        </w:rPr>
        <w:t>每天 0 时求解未来 24 小时计划。到 6 时、12 时和 18 时，读取最新光伏预测和当前 SOC，固定已经执行的决策，只重新优化剩余时段。增购量和减购量分别设置非负变量，从而把 1.5 倍增购价格及 50%减购违约价格写成分段线性成本。</w:t>
      </w:r>
    </w:p>
    <w:p>
      <w:pPr>
        <w:keepLines/>
        <w:spacing w:before="0" w:after="100" w:line="324" w:lineRule="auto"/>
        <w:ind w:firstLine="440"/>
      </w:pPr>
      <w:r>
        <w:rPr>
          <w:rFonts w:ascii="Arial" w:hAnsi="Arial" w:eastAsia="SimSun"/>
          <w:b/>
          <w:color w:val="000000"/>
          <w:sz w:val="22"/>
        </w:rPr>
        <w:t>选择理由：</w:t>
      </w:r>
      <w:r>
        <w:rPr>
          <w:rFonts w:ascii="Arial" w:hAnsi="Arial" w:eastAsia="SimSun"/>
          <w:b w:val="0"/>
          <w:color w:val="000000"/>
          <w:sz w:val="22"/>
        </w:rPr>
        <w:t>题目每 6 小时提供一次新信息，已经执行的操作不能改变，未来操作可以更新，这正是滚动时域优化的决策结构。附件数据也支持更新：6 时预测更新后，剩余时段光伏 MAE 约下降 47.7%；12 时更新后约下降 81.7%。18 时后多为夜间时段，其调整价值应由成本对照实验判断。</w:t>
      </w:r>
    </w:p>
    <w:p>
      <w:pPr>
        <w:pStyle w:val="Heading2"/>
        <w:keepNext/>
      </w:pPr>
      <w:r>
        <w:t>方案 Q3 B 随机 MPC</w:t>
      </w:r>
    </w:p>
    <w:p>
      <w:pPr>
        <w:keepLines/>
        <w:spacing w:before="0" w:after="100" w:line="324" w:lineRule="auto"/>
        <w:ind w:firstLine="440"/>
      </w:pPr>
      <w:r>
        <w:rPr>
          <w:rFonts w:ascii="Arial" w:hAnsi="Arial" w:eastAsia="SimSun"/>
          <w:b w:val="0"/>
          <w:color w:val="000000"/>
          <w:sz w:val="22"/>
        </w:rPr>
        <w:t>在每次滚动优化中，根据不同提前量的历史预测误差生成多个未来光伏场景。目标可由期望成本和条件风险价值 CVaR 组成，以减少极端误差引起的 5 倍应急购电。该方案风险刻画更充分，但需要控制情景数量和风险系数。</w:t>
      </w:r>
    </w:p>
    <w:p>
      <w:pPr>
        <w:pStyle w:val="Heading2"/>
        <w:keepNext/>
      </w:pPr>
      <w:r>
        <w:t>方案 Q3 C 鲁棒滚动 MPC</w:t>
      </w:r>
    </w:p>
    <w:p>
      <w:pPr>
        <w:keepLines/>
        <w:spacing w:before="0" w:after="100" w:line="324" w:lineRule="auto"/>
        <w:ind w:firstLine="440"/>
      </w:pPr>
      <w:r>
        <w:rPr>
          <w:rFonts w:ascii="Arial" w:hAnsi="Arial" w:eastAsia="SimSun"/>
          <w:b w:val="0"/>
          <w:color w:val="000000"/>
          <w:sz w:val="22"/>
        </w:rPr>
        <w:t>使用预测值及其误差区间，要求滚动策略在区间内保持供电可行。优点是安全性较高，缺点是容易保守。适合作为随机 MPC 的对照，不建议单独作为主模型。</w:t>
      </w:r>
    </w:p>
    <w:p>
      <w:pPr>
        <w:pStyle w:val="Heading2"/>
        <w:keepNext/>
      </w:pPr>
      <w:r>
        <w:t>调整必要性实验</w:t>
      </w:r>
    </w:p>
    <w:p>
      <w:pPr>
        <w:keepLines/>
        <w:spacing w:before="0" w:after="100" w:line="324" w:lineRule="auto"/>
        <w:ind w:firstLine="440"/>
      </w:pPr>
      <w:r>
        <w:rPr>
          <w:rFonts w:ascii="Arial" w:hAnsi="Arial" w:eastAsia="SimSun"/>
          <w:b w:val="0"/>
          <w:color w:val="000000"/>
          <w:sz w:val="22"/>
        </w:rPr>
        <w:t>为了回答题目中的是否需要调整，应比较四组策略，而不能只展示调整后的结果。</w:t>
      </w:r>
    </w:p>
    <w:p>
      <w:pPr>
        <w:pStyle w:val="ListNumber"/>
        <w:spacing w:after="60" w:line="300" w:lineRule="auto"/>
        <w:ind w:left="440" w:hanging="240"/>
      </w:pPr>
      <w:r>
        <w:rPr>
          <w:rFonts w:ascii="Arial" w:hAnsi="Arial" w:eastAsia="SimSun"/>
          <w:b w:val="0"/>
          <w:color w:val="000000"/>
          <w:sz w:val="21"/>
        </w:rPr>
        <w:t>仅使用 0 时预测，全天不调整。</w:t>
      </w:r>
    </w:p>
    <w:p>
      <w:pPr>
        <w:pStyle w:val="ListNumber"/>
        <w:spacing w:after="60" w:line="300" w:lineRule="auto"/>
        <w:ind w:left="440" w:hanging="240"/>
      </w:pPr>
      <w:r>
        <w:rPr>
          <w:rFonts w:ascii="Arial" w:hAnsi="Arial" w:eastAsia="SimSun"/>
          <w:b w:val="0"/>
          <w:color w:val="000000"/>
          <w:sz w:val="21"/>
        </w:rPr>
        <w:t>在 6 时调整一次。</w:t>
      </w:r>
    </w:p>
    <w:p>
      <w:pPr>
        <w:pStyle w:val="ListNumber"/>
        <w:spacing w:after="60" w:line="300" w:lineRule="auto"/>
        <w:ind w:left="440" w:hanging="240"/>
      </w:pPr>
      <w:r>
        <w:rPr>
          <w:rFonts w:ascii="Arial" w:hAnsi="Arial" w:eastAsia="SimSun"/>
          <w:b w:val="0"/>
          <w:color w:val="000000"/>
          <w:sz w:val="21"/>
        </w:rPr>
        <w:t>在 6 时和 12 时调整。</w:t>
      </w:r>
    </w:p>
    <w:p>
      <w:pPr>
        <w:pStyle w:val="ListNumber"/>
        <w:spacing w:after="60" w:line="300" w:lineRule="auto"/>
        <w:ind w:left="440" w:hanging="240"/>
      </w:pPr>
      <w:r>
        <w:rPr>
          <w:rFonts w:ascii="Arial" w:hAnsi="Arial" w:eastAsia="SimSun"/>
          <w:b w:val="0"/>
          <w:color w:val="000000"/>
          <w:sz w:val="21"/>
        </w:rPr>
        <w:t>在 6 时、12 时和 18 时全部调整。</w:t>
      </w:r>
    </w:p>
    <w:p>
      <w:pPr>
        <w:keepLines/>
        <w:spacing w:before="0" w:after="100" w:line="324" w:lineRule="auto"/>
      </w:pPr>
      <w:r>
        <w:rPr>
          <w:rFonts w:ascii="Arial" w:hAnsi="Arial" w:eastAsia="SimSun"/>
          <w:b w:val="0"/>
          <w:color w:val="000000"/>
          <w:sz w:val="22"/>
        </w:rPr>
        <w:t>比较总成本、正常购电成本、调整成本、应急成本、应急能量和弃光量。若某次调整带来的应急成本下降小于其违约或增购成本，则该次调整没有经济必要性。</w:t>
      </w:r>
    </w:p>
    <w:p>
      <w:pPr>
        <w:pStyle w:val="Heading1"/>
        <w:keepNext/>
      </w:pPr>
      <w:r>
        <w:t>六 问题四候选方法</w:t>
      </w:r>
    </w:p>
    <w:p>
      <w:pPr>
        <w:pStyle w:val="Heading2"/>
        <w:keepNext/>
      </w:pPr>
      <w:r>
        <w:t>方案 Q4 A 价格感知确定性 MPC</w:t>
      </w:r>
    </w:p>
    <w:p>
      <w:pPr>
        <w:keepLines/>
        <w:spacing w:before="0" w:after="100" w:line="324" w:lineRule="auto"/>
        <w:ind w:firstLine="440"/>
      </w:pPr>
      <w:r>
        <w:rPr>
          <w:rFonts w:ascii="Arial" w:hAnsi="Arial" w:eastAsia="SimSun"/>
          <w:b w:val="0"/>
          <w:color w:val="000000"/>
          <w:sz w:val="22"/>
        </w:rPr>
        <w:t>把附件四中的实时电价代入问题二和问题三的模型。此时储能既用于吸收光伏余电，也用于低价充电和高价放电。该方案最贴近题面，可作为问题四的基础结果。</w:t>
      </w:r>
    </w:p>
    <w:p>
      <w:pPr>
        <w:pStyle w:val="Heading2"/>
        <w:keepNext/>
      </w:pPr>
      <w:r>
        <w:t>方案 Q4 B 光伏与电价联合随机 MPC</w:t>
      </w:r>
    </w:p>
    <w:p>
      <w:pPr>
        <w:keepLines/>
        <w:spacing w:before="0" w:after="100" w:line="324" w:lineRule="auto"/>
        <w:ind w:firstLine="440"/>
      </w:pPr>
      <w:r>
        <w:rPr>
          <w:rFonts w:ascii="Arial" w:hAnsi="Arial" w:eastAsia="SimSun"/>
          <w:b w:val="0"/>
          <w:color w:val="000000"/>
          <w:sz w:val="22"/>
        </w:rPr>
        <w:t>若认为 0 时无法知道全天真实电价，则同时构造光伏和价格情景，并保留两者在日期和时段上的相关性。该方案能分析低光伏与高电价同时出现时的风险，也能比较仅考虑光伏误差和同时考虑价格误差的差异。</w:t>
      </w:r>
    </w:p>
    <w:p>
      <w:pPr>
        <w:pStyle w:val="Heading2"/>
        <w:keepNext/>
      </w:pPr>
      <w:r>
        <w:t>方案 Q4 C 分布鲁棒 MPC</w:t>
      </w:r>
    </w:p>
    <w:p>
      <w:pPr>
        <w:keepLines/>
        <w:spacing w:before="0" w:after="100" w:line="324" w:lineRule="auto"/>
        <w:ind w:firstLine="440"/>
      </w:pPr>
      <w:r>
        <w:rPr>
          <w:rFonts w:ascii="Arial" w:hAnsi="Arial" w:eastAsia="SimSun"/>
          <w:b w:val="0"/>
          <w:color w:val="000000"/>
          <w:sz w:val="22"/>
        </w:rPr>
        <w:t>根据历史误差建立概率分布附近的不确定集合，并控制其中最不利分布下的期望成本。理论层次较高，但不确定集半径难以解释，计算和论文论证负担较重。除非队伍熟悉分布鲁棒优化，否则不建议主选。</w:t>
      </w:r>
    </w:p>
    <w:p>
      <w:pPr>
        <w:pStyle w:val="Heading2"/>
        <w:keepNext/>
      </w:pPr>
      <w:r>
        <w:t>问题四建议</w:t>
      </w:r>
    </w:p>
    <w:p>
      <w:pPr>
        <w:keepLines/>
        <w:spacing w:before="0" w:after="100" w:line="324" w:lineRule="auto"/>
      </w:pPr>
      <w:r>
        <w:rPr>
          <w:rFonts w:ascii="Arial" w:hAnsi="Arial" w:eastAsia="SimSun"/>
          <w:b w:val="0"/>
          <w:color w:val="000000"/>
          <w:sz w:val="22"/>
        </w:rPr>
        <w:t>主模型使用 Q4 A。如果队伍选择 H 或 S 路线，再加入 Q4 B 作为风险增强和创新点。Q4 C 可作为拓展讨论。</w:t>
      </w:r>
    </w:p>
    <w:p>
      <w:pPr>
        <w:pStyle w:val="Heading1"/>
        <w:keepNext/>
      </w:pPr>
      <w:r>
        <w:t>七 推荐组合与论文主线</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1152"/>
            <w:shd w:fill="1F4E78"/>
            <w:tcMar>
              <w:top w:w="110" w:type="dxa"/>
              <w:start w:w="120" w:type="dxa"/>
              <w:bottom w:w="110" w:type="dxa"/>
              <w:end w:w="120" w:type="dxa"/>
            </w:tcMar>
            <w:vAlign w:val="center"/>
          </w:tcPr>
          <w:p>
            <w:pPr>
              <w:spacing w:after="0"/>
              <w:jc w:val="center"/>
            </w:pPr>
            <w:r>
              <w:rPr>
                <w:rFonts w:ascii="Arial" w:hAnsi="Arial" w:eastAsia="Microsoft YaHei"/>
                <w:b/>
                <w:color w:val="FFFFFF"/>
                <w:sz w:val="18"/>
              </w:rPr>
              <w:t>问题</w:t>
            </w:r>
          </w:p>
        </w:tc>
        <w:tc>
          <w:tcPr>
            <w:tcW w:type="dxa" w:w="2592"/>
            <w:shd w:fill="1F4E78"/>
            <w:tcMar>
              <w:top w:w="110" w:type="dxa"/>
              <w:start w:w="120" w:type="dxa"/>
              <w:bottom w:w="110" w:type="dxa"/>
              <w:end w:w="120" w:type="dxa"/>
            </w:tcMar>
            <w:vAlign w:val="center"/>
          </w:tcPr>
          <w:p>
            <w:pPr>
              <w:spacing w:after="0"/>
              <w:jc w:val="center"/>
            </w:pPr>
            <w:r>
              <w:rPr>
                <w:rFonts w:ascii="Arial" w:hAnsi="Arial" w:eastAsia="Microsoft YaHei"/>
                <w:b/>
                <w:color w:val="FFFFFF"/>
                <w:sz w:val="18"/>
              </w:rPr>
              <w:t>推荐主模型</w:t>
            </w:r>
          </w:p>
        </w:tc>
        <w:tc>
          <w:tcPr>
            <w:tcW w:type="dxa" w:w="2448"/>
            <w:shd w:fill="1F4E78"/>
            <w:tcMar>
              <w:top w:w="110" w:type="dxa"/>
              <w:start w:w="120" w:type="dxa"/>
              <w:bottom w:w="110" w:type="dxa"/>
              <w:end w:w="120" w:type="dxa"/>
            </w:tcMar>
            <w:vAlign w:val="center"/>
          </w:tcPr>
          <w:p>
            <w:pPr>
              <w:spacing w:after="0"/>
              <w:jc w:val="center"/>
            </w:pPr>
            <w:r>
              <w:rPr>
                <w:rFonts w:ascii="Arial" w:hAnsi="Arial" w:eastAsia="Microsoft YaHei"/>
                <w:b/>
                <w:color w:val="FFFFFF"/>
                <w:sz w:val="18"/>
              </w:rPr>
              <w:t>对照模型</w:t>
            </w:r>
          </w:p>
        </w:tc>
        <w:tc>
          <w:tcPr>
            <w:tcW w:type="dxa" w:w="3600"/>
            <w:shd w:fill="1F4E78"/>
            <w:tcMar>
              <w:top w:w="110" w:type="dxa"/>
              <w:start w:w="120" w:type="dxa"/>
              <w:bottom w:w="110" w:type="dxa"/>
              <w:end w:w="120" w:type="dxa"/>
            </w:tcMar>
            <w:vAlign w:val="center"/>
          </w:tcPr>
          <w:p>
            <w:pPr>
              <w:spacing w:after="0"/>
              <w:jc w:val="center"/>
            </w:pPr>
            <w:r>
              <w:rPr>
                <w:rFonts w:ascii="Arial" w:hAnsi="Arial" w:eastAsia="Microsoft YaHei"/>
                <w:b/>
                <w:color w:val="FFFFFF"/>
                <w:sz w:val="18"/>
              </w:rPr>
              <w:t>论文中要证明的内容</w:t>
            </w:r>
          </w:p>
        </w:tc>
      </w:tr>
      <w:tr>
        <w:tc>
          <w:tcPr>
            <w:tcW w:type="dxa" w:w="1152"/>
            <w:tcMar>
              <w:top w:w="110" w:type="dxa"/>
              <w:start w:w="120" w:type="dxa"/>
              <w:bottom w:w="110" w:type="dxa"/>
              <w:end w:w="120" w:type="dxa"/>
            </w:tcMar>
            <w:vAlign w:val="center"/>
          </w:tcPr>
          <w:p>
            <w:pPr>
              <w:spacing w:after="0" w:line="276" w:lineRule="auto"/>
              <w:jc w:val="center"/>
            </w:pPr>
            <w:r>
              <w:rPr>
                <w:rFonts w:ascii="Arial" w:hAnsi="Arial" w:eastAsia="SimSun"/>
                <w:b w:val="0"/>
                <w:color w:val="000000"/>
                <w:sz w:val="18"/>
              </w:rPr>
              <w:t>问题一</w:t>
            </w:r>
          </w:p>
        </w:tc>
        <w:tc>
          <w:tcPr>
            <w:tcW w:type="dxa" w:w="2592"/>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8"/>
              </w:rPr>
              <w:t>确定性 LP</w:t>
            </w:r>
          </w:p>
        </w:tc>
        <w:tc>
          <w:tcPr>
            <w:tcW w:type="dxa" w:w="2448"/>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8"/>
              </w:rPr>
              <w:t>MILP 或 SOC 动态规划</w:t>
            </w:r>
          </w:p>
        </w:tc>
        <w:tc>
          <w:tcPr>
            <w:tcW w:type="dxa" w:w="3600"/>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8"/>
              </w:rPr>
              <w:t>基础调度确实满足全部物理约束并达到最低成本</w:t>
            </w:r>
          </w:p>
        </w:tc>
      </w:tr>
      <w:tr>
        <w:tc>
          <w:tcPr>
            <w:tcW w:type="dxa" w:w="1152"/>
            <w:tcMar>
              <w:top w:w="110" w:type="dxa"/>
              <w:start w:w="120" w:type="dxa"/>
              <w:bottom w:w="110" w:type="dxa"/>
              <w:end w:w="120" w:type="dxa"/>
            </w:tcMar>
            <w:vAlign w:val="center"/>
            <w:shd w:fill="F3F7FA"/>
          </w:tcPr>
          <w:p>
            <w:pPr>
              <w:spacing w:after="0" w:line="276" w:lineRule="auto"/>
              <w:jc w:val="center"/>
            </w:pPr>
            <w:r>
              <w:rPr>
                <w:rFonts w:ascii="Arial" w:hAnsi="Arial" w:eastAsia="SimSun"/>
                <w:b w:val="0"/>
                <w:color w:val="000000"/>
                <w:sz w:val="18"/>
              </w:rPr>
              <w:t>问题二</w:t>
            </w:r>
          </w:p>
        </w:tc>
        <w:tc>
          <w:tcPr>
            <w:tcW w:type="dxa" w:w="2592"/>
            <w:tcMar>
              <w:top w:w="110" w:type="dxa"/>
              <w:start w:w="120" w:type="dxa"/>
              <w:bottom w:w="110" w:type="dxa"/>
              <w:end w:w="120" w:type="dxa"/>
            </w:tcMar>
            <w:vAlign w:val="center"/>
            <w:shd w:fill="F3F7FA"/>
          </w:tcPr>
          <w:p>
            <w:pPr>
              <w:spacing w:after="0" w:line="276" w:lineRule="auto"/>
              <w:jc w:val="left"/>
            </w:pPr>
            <w:r>
              <w:rPr>
                <w:rFonts w:ascii="Arial" w:hAnsi="Arial" w:eastAsia="SimSun"/>
                <w:b w:val="0"/>
                <w:color w:val="000000"/>
                <w:sz w:val="18"/>
              </w:rPr>
              <w:t>两阶段随机规划或机会约束</w:t>
            </w:r>
          </w:p>
        </w:tc>
        <w:tc>
          <w:tcPr>
            <w:tcW w:type="dxa" w:w="2448"/>
            <w:tcMar>
              <w:top w:w="110" w:type="dxa"/>
              <w:start w:w="120" w:type="dxa"/>
              <w:bottom w:w="110" w:type="dxa"/>
              <w:end w:w="120" w:type="dxa"/>
            </w:tcMar>
            <w:vAlign w:val="center"/>
            <w:shd w:fill="F3F7FA"/>
          </w:tcPr>
          <w:p>
            <w:pPr>
              <w:spacing w:after="0" w:line="276" w:lineRule="auto"/>
              <w:jc w:val="left"/>
            </w:pPr>
            <w:r>
              <w:rPr>
                <w:rFonts w:ascii="Arial" w:hAnsi="Arial" w:eastAsia="SimSun"/>
                <w:b w:val="0"/>
                <w:color w:val="000000"/>
                <w:sz w:val="18"/>
              </w:rPr>
              <w:t>完美信息逐日 LP</w:t>
            </w:r>
          </w:p>
        </w:tc>
        <w:tc>
          <w:tcPr>
            <w:tcW w:type="dxa" w:w="3600"/>
            <w:tcMar>
              <w:top w:w="110" w:type="dxa"/>
              <w:start w:w="120" w:type="dxa"/>
              <w:bottom w:w="110" w:type="dxa"/>
              <w:end w:w="120" w:type="dxa"/>
            </w:tcMar>
            <w:vAlign w:val="center"/>
            <w:shd w:fill="F3F7FA"/>
          </w:tcPr>
          <w:p>
            <w:pPr>
              <w:spacing w:after="0" w:line="276" w:lineRule="auto"/>
              <w:jc w:val="left"/>
            </w:pPr>
            <w:r>
              <w:rPr>
                <w:rFonts w:ascii="Arial" w:hAnsi="Arial" w:eastAsia="SimSun"/>
                <w:b w:val="0"/>
                <w:color w:val="000000"/>
                <w:sz w:val="18"/>
              </w:rPr>
              <w:t>考虑不确定性后为何出现应急购电以及安全裕度是否值得</w:t>
            </w:r>
          </w:p>
        </w:tc>
      </w:tr>
      <w:tr>
        <w:tc>
          <w:tcPr>
            <w:tcW w:type="dxa" w:w="1152"/>
            <w:tcMar>
              <w:top w:w="110" w:type="dxa"/>
              <w:start w:w="120" w:type="dxa"/>
              <w:bottom w:w="110" w:type="dxa"/>
              <w:end w:w="120" w:type="dxa"/>
            </w:tcMar>
            <w:vAlign w:val="center"/>
          </w:tcPr>
          <w:p>
            <w:pPr>
              <w:spacing w:after="0" w:line="276" w:lineRule="auto"/>
              <w:jc w:val="center"/>
            </w:pPr>
            <w:r>
              <w:rPr>
                <w:rFonts w:ascii="Arial" w:hAnsi="Arial" w:eastAsia="SimSun"/>
                <w:b w:val="0"/>
                <w:color w:val="000000"/>
                <w:sz w:val="18"/>
              </w:rPr>
              <w:t>问题三</w:t>
            </w:r>
          </w:p>
        </w:tc>
        <w:tc>
          <w:tcPr>
            <w:tcW w:type="dxa" w:w="2592"/>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8"/>
              </w:rPr>
              <w:t>滚动时域 MPC 加轻量风险控制</w:t>
            </w:r>
          </w:p>
        </w:tc>
        <w:tc>
          <w:tcPr>
            <w:tcW w:type="dxa" w:w="2448"/>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8"/>
              </w:rPr>
              <w:t>0 时计划后不再调整</w:t>
            </w:r>
          </w:p>
        </w:tc>
        <w:tc>
          <w:tcPr>
            <w:tcW w:type="dxa" w:w="3600"/>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8"/>
              </w:rPr>
              <w:t>6 时、12 时、18 时各次更新是否降低总成本</w:t>
            </w:r>
          </w:p>
        </w:tc>
      </w:tr>
      <w:tr>
        <w:tc>
          <w:tcPr>
            <w:tcW w:type="dxa" w:w="1152"/>
            <w:tcMar>
              <w:top w:w="110" w:type="dxa"/>
              <w:start w:w="120" w:type="dxa"/>
              <w:bottom w:w="110" w:type="dxa"/>
              <w:end w:w="120" w:type="dxa"/>
            </w:tcMar>
            <w:vAlign w:val="center"/>
            <w:shd w:fill="F3F7FA"/>
          </w:tcPr>
          <w:p>
            <w:pPr>
              <w:spacing w:after="0" w:line="276" w:lineRule="auto"/>
              <w:jc w:val="center"/>
            </w:pPr>
            <w:r>
              <w:rPr>
                <w:rFonts w:ascii="Arial" w:hAnsi="Arial" w:eastAsia="SimSun"/>
                <w:b w:val="0"/>
                <w:color w:val="000000"/>
                <w:sz w:val="18"/>
              </w:rPr>
              <w:t>问题四</w:t>
            </w:r>
          </w:p>
        </w:tc>
        <w:tc>
          <w:tcPr>
            <w:tcW w:type="dxa" w:w="2592"/>
            <w:tcMar>
              <w:top w:w="110" w:type="dxa"/>
              <w:start w:w="120" w:type="dxa"/>
              <w:bottom w:w="110" w:type="dxa"/>
              <w:end w:w="120" w:type="dxa"/>
            </w:tcMar>
            <w:vAlign w:val="center"/>
            <w:shd w:fill="F3F7FA"/>
          </w:tcPr>
          <w:p>
            <w:pPr>
              <w:spacing w:after="0" w:line="276" w:lineRule="auto"/>
              <w:jc w:val="left"/>
            </w:pPr>
            <w:r>
              <w:rPr>
                <w:rFonts w:ascii="Arial" w:hAnsi="Arial" w:eastAsia="SimSun"/>
                <w:b w:val="0"/>
                <w:color w:val="000000"/>
                <w:sz w:val="18"/>
              </w:rPr>
              <w:t>价格感知滚动 MPC</w:t>
            </w:r>
          </w:p>
        </w:tc>
        <w:tc>
          <w:tcPr>
            <w:tcW w:type="dxa" w:w="2448"/>
            <w:tcMar>
              <w:top w:w="110" w:type="dxa"/>
              <w:start w:w="120" w:type="dxa"/>
              <w:bottom w:w="110" w:type="dxa"/>
              <w:end w:w="120" w:type="dxa"/>
            </w:tcMar>
            <w:vAlign w:val="center"/>
            <w:shd w:fill="F3F7FA"/>
          </w:tcPr>
          <w:p>
            <w:pPr>
              <w:spacing w:after="0" w:line="276" w:lineRule="auto"/>
              <w:jc w:val="left"/>
            </w:pPr>
            <w:r>
              <w:rPr>
                <w:rFonts w:ascii="Arial" w:hAnsi="Arial" w:eastAsia="SimSun"/>
                <w:b w:val="0"/>
                <w:color w:val="000000"/>
                <w:sz w:val="18"/>
              </w:rPr>
              <w:t>固定价格模型或联合随机模型</w:t>
            </w:r>
          </w:p>
        </w:tc>
        <w:tc>
          <w:tcPr>
            <w:tcW w:type="dxa" w:w="3600"/>
            <w:tcMar>
              <w:top w:w="110" w:type="dxa"/>
              <w:start w:w="120" w:type="dxa"/>
              <w:bottom w:w="110" w:type="dxa"/>
              <w:end w:w="120" w:type="dxa"/>
            </w:tcMar>
            <w:vAlign w:val="center"/>
            <w:shd w:fill="F3F7FA"/>
          </w:tcPr>
          <w:p>
            <w:pPr>
              <w:spacing w:after="0" w:line="276" w:lineRule="auto"/>
              <w:jc w:val="left"/>
            </w:pPr>
            <w:r>
              <w:rPr>
                <w:rFonts w:ascii="Arial" w:hAnsi="Arial" w:eastAsia="SimSun"/>
                <w:b w:val="0"/>
                <w:color w:val="000000"/>
                <w:sz w:val="18"/>
              </w:rPr>
              <w:t>实时价格如何改变储能充放电时机和购电成本</w:t>
            </w:r>
          </w:p>
        </w:tc>
      </w:tr>
    </w:tbl>
    <w:p>
      <w:pPr>
        <w:spacing w:after="20"/>
      </w:pPr>
    </w:p>
    <w:p>
      <w:pPr>
        <w:keepLines/>
        <w:spacing w:before="0" w:after="100" w:line="324" w:lineRule="auto"/>
        <w:ind w:firstLine="440"/>
      </w:pPr>
      <w:r>
        <w:rPr>
          <w:rFonts w:ascii="Arial" w:hAnsi="Arial" w:eastAsia="SimSun"/>
          <w:b w:val="0"/>
          <w:color w:val="000000"/>
          <w:sz w:val="22"/>
        </w:rPr>
        <w:t>建议的论文论证主线如下：随着题目从确定性典型日扩展到全年随机波动，再扩展到日内预测更新和实时电价变化，模型的信息结构逐步复杂化。首先建立能量守恒和 SOC 转移约束下的确定性线性规划模型；随后加入应急购电追索机制，形成两阶段调度模型；再利用滚动时域优化处理日内信息更新；最终把实时电价纳入统一调度框架。</w:t>
      </w:r>
    </w:p>
    <w:p>
      <w:pPr>
        <w:keepLines/>
        <w:spacing w:before="0" w:after="100" w:line="324" w:lineRule="auto"/>
        <w:ind w:firstLine="440"/>
      </w:pPr>
      <w:r>
        <w:rPr>
          <w:rFonts w:ascii="Arial" w:hAnsi="Arial" w:eastAsia="SimSun"/>
          <w:b w:val="0"/>
          <w:color w:val="000000"/>
          <w:sz w:val="22"/>
        </w:rPr>
        <w:t>这条主线借鉴优秀论文常用的建模组织方式：先从物理或业务机制推导状态方程与约束，再根据模型的数学结构选择求解方法。所参考论文的具体模型不会被直接套用到本题。</w:t>
      </w:r>
    </w:p>
    <w:p>
      <w:pPr>
        <w:pStyle w:val="Heading1"/>
        <w:keepNext/>
      </w:pPr>
      <w:r>
        <w:t>八 正式求解前必须确认的口径</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656"/>
            <w:shd w:fill="1F4E78"/>
            <w:tcMar>
              <w:top w:w="110" w:type="dxa"/>
              <w:start w:w="120" w:type="dxa"/>
              <w:bottom w:w="110" w:type="dxa"/>
              <w:end w:w="120" w:type="dxa"/>
            </w:tcMar>
            <w:vAlign w:val="center"/>
          </w:tcPr>
          <w:p>
            <w:pPr>
              <w:spacing w:after="0"/>
              <w:jc w:val="center"/>
            </w:pPr>
            <w:r>
              <w:rPr>
                <w:rFonts w:ascii="Arial" w:hAnsi="Arial" w:eastAsia="Microsoft YaHei"/>
                <w:b/>
                <w:color w:val="FFFFFF"/>
                <w:sz w:val="18"/>
              </w:rPr>
              <w:t>事项</w:t>
            </w:r>
          </w:p>
        </w:tc>
        <w:tc>
          <w:tcPr>
            <w:tcW w:type="dxa" w:w="4896"/>
            <w:shd w:fill="1F4E78"/>
            <w:tcMar>
              <w:top w:w="110" w:type="dxa"/>
              <w:start w:w="120" w:type="dxa"/>
              <w:bottom w:w="110" w:type="dxa"/>
              <w:end w:w="120" w:type="dxa"/>
            </w:tcMar>
            <w:vAlign w:val="center"/>
          </w:tcPr>
          <w:p>
            <w:pPr>
              <w:spacing w:after="0"/>
              <w:jc w:val="center"/>
            </w:pPr>
            <w:r>
              <w:rPr>
                <w:rFonts w:ascii="Arial" w:hAnsi="Arial" w:eastAsia="Microsoft YaHei"/>
                <w:b/>
                <w:color w:val="FFFFFF"/>
                <w:sz w:val="18"/>
              </w:rPr>
              <w:t>推荐口径</w:t>
            </w:r>
          </w:p>
        </w:tc>
        <w:tc>
          <w:tcPr>
            <w:tcW w:type="dxa" w:w="3240"/>
            <w:shd w:fill="1F4E78"/>
            <w:tcMar>
              <w:top w:w="110" w:type="dxa"/>
              <w:start w:w="120" w:type="dxa"/>
              <w:bottom w:w="110" w:type="dxa"/>
              <w:end w:w="120" w:type="dxa"/>
            </w:tcMar>
            <w:vAlign w:val="center"/>
          </w:tcPr>
          <w:p>
            <w:pPr>
              <w:spacing w:after="0"/>
              <w:jc w:val="center"/>
            </w:pPr>
            <w:r>
              <w:rPr>
                <w:rFonts w:ascii="Arial" w:hAnsi="Arial" w:eastAsia="Microsoft YaHei"/>
                <w:b/>
                <w:color w:val="FFFFFF"/>
                <w:sz w:val="18"/>
              </w:rPr>
              <w:t>必须进行的核验</w:t>
            </w:r>
          </w:p>
        </w:tc>
      </w:tr>
      <w:tr>
        <w:tc>
          <w:tcPr>
            <w:tcW w:type="dxa" w:w="1656"/>
            <w:tcMar>
              <w:top w:w="110" w:type="dxa"/>
              <w:start w:w="120" w:type="dxa"/>
              <w:bottom w:w="110" w:type="dxa"/>
              <w:end w:w="120" w:type="dxa"/>
            </w:tcMar>
            <w:vAlign w:val="center"/>
          </w:tcPr>
          <w:p>
            <w:pPr>
              <w:spacing w:after="0" w:line="276" w:lineRule="auto"/>
              <w:jc w:val="center"/>
            </w:pPr>
            <w:r>
              <w:rPr>
                <w:rFonts w:ascii="Arial" w:hAnsi="Arial" w:eastAsia="SimSun"/>
                <w:b w:val="0"/>
                <w:color w:val="000000"/>
                <w:sz w:val="18"/>
              </w:rPr>
              <w:t>问题二信息集</w:t>
            </w:r>
          </w:p>
        </w:tc>
        <w:tc>
          <w:tcPr>
            <w:tcW w:type="dxa" w:w="4896"/>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8"/>
              </w:rPr>
              <w:t>附件二作为实际实现值，不认为其在当天 0 时全部可知；确定性结果仅作完美信息下界</w:t>
            </w:r>
          </w:p>
        </w:tc>
        <w:tc>
          <w:tcPr>
            <w:tcW w:type="dxa" w:w="3240"/>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8"/>
              </w:rPr>
              <w:t>比较完美信息与日前不确定模型的成本和应急量</w:t>
            </w:r>
          </w:p>
        </w:tc>
      </w:tr>
      <w:tr>
        <w:tc>
          <w:tcPr>
            <w:tcW w:type="dxa" w:w="1656"/>
            <w:tcMar>
              <w:top w:w="110" w:type="dxa"/>
              <w:start w:w="120" w:type="dxa"/>
              <w:bottom w:w="110" w:type="dxa"/>
              <w:end w:w="120" w:type="dxa"/>
            </w:tcMar>
            <w:vAlign w:val="center"/>
            <w:shd w:fill="F3F7FA"/>
          </w:tcPr>
          <w:p>
            <w:pPr>
              <w:spacing w:after="0" w:line="276" w:lineRule="auto"/>
              <w:jc w:val="center"/>
            </w:pPr>
            <w:r>
              <w:rPr>
                <w:rFonts w:ascii="Arial" w:hAnsi="Arial" w:eastAsia="SimSun"/>
                <w:b w:val="0"/>
                <w:color w:val="000000"/>
                <w:sz w:val="18"/>
              </w:rPr>
              <w:t>储能效率</w:t>
            </w:r>
          </w:p>
        </w:tc>
        <w:tc>
          <w:tcPr>
            <w:tcW w:type="dxa" w:w="4896"/>
            <w:tcMar>
              <w:top w:w="110" w:type="dxa"/>
              <w:start w:w="120" w:type="dxa"/>
              <w:bottom w:w="110" w:type="dxa"/>
              <w:end w:w="120" w:type="dxa"/>
            </w:tcMar>
            <w:vAlign w:val="center"/>
            <w:shd w:fill="F3F7FA"/>
          </w:tcPr>
          <w:p>
            <w:pPr>
              <w:spacing w:after="0" w:line="276" w:lineRule="auto"/>
              <w:jc w:val="left"/>
            </w:pPr>
            <w:r>
              <w:rPr>
                <w:rFonts w:ascii="Arial" w:hAnsi="Arial" w:eastAsia="SimSun"/>
                <w:b w:val="0"/>
                <w:color w:val="000000"/>
                <w:sz w:val="18"/>
              </w:rPr>
              <w:t>主结果暂按充电效率和放电效率各 90%</w:t>
            </w:r>
          </w:p>
        </w:tc>
        <w:tc>
          <w:tcPr>
            <w:tcW w:type="dxa" w:w="3240"/>
            <w:tcMar>
              <w:top w:w="110" w:type="dxa"/>
              <w:start w:w="120" w:type="dxa"/>
              <w:bottom w:w="110" w:type="dxa"/>
              <w:end w:w="120" w:type="dxa"/>
            </w:tcMar>
            <w:vAlign w:val="center"/>
            <w:shd w:fill="F3F7FA"/>
          </w:tcPr>
          <w:p>
            <w:pPr>
              <w:spacing w:after="0" w:line="276" w:lineRule="auto"/>
              <w:jc w:val="left"/>
            </w:pPr>
            <w:r>
              <w:rPr>
                <w:rFonts w:ascii="Arial" w:hAnsi="Arial" w:eastAsia="SimSun"/>
                <w:b w:val="0"/>
                <w:color w:val="000000"/>
                <w:sz w:val="18"/>
              </w:rPr>
              <w:t>以双向效率均为根号 0.9 进行敏感性分析</w:t>
            </w:r>
          </w:p>
        </w:tc>
      </w:tr>
      <w:tr>
        <w:tc>
          <w:tcPr>
            <w:tcW w:type="dxa" w:w="1656"/>
            <w:tcMar>
              <w:top w:w="110" w:type="dxa"/>
              <w:start w:w="120" w:type="dxa"/>
              <w:bottom w:w="110" w:type="dxa"/>
              <w:end w:w="120" w:type="dxa"/>
            </w:tcMar>
            <w:vAlign w:val="center"/>
          </w:tcPr>
          <w:p>
            <w:pPr>
              <w:spacing w:after="0" w:line="276" w:lineRule="auto"/>
              <w:jc w:val="center"/>
            </w:pPr>
            <w:r>
              <w:rPr>
                <w:rFonts w:ascii="Arial" w:hAnsi="Arial" w:eastAsia="SimSun"/>
                <w:b w:val="0"/>
                <w:color w:val="000000"/>
                <w:sz w:val="18"/>
              </w:rPr>
              <w:t>问题三减购结算</w:t>
            </w:r>
          </w:p>
        </w:tc>
        <w:tc>
          <w:tcPr>
            <w:tcW w:type="dxa" w:w="4896"/>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8"/>
              </w:rPr>
              <w:t>减购部分不再支付正常电费，但支付原交易电价 50%的违约费用</w:t>
            </w:r>
          </w:p>
        </w:tc>
        <w:tc>
          <w:tcPr>
            <w:tcW w:type="dxa" w:w="3240"/>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8"/>
              </w:rPr>
              <w:t>对另一种可能解释重算并报告结论是否改变</w:t>
            </w:r>
          </w:p>
        </w:tc>
      </w:tr>
      <w:tr>
        <w:tc>
          <w:tcPr>
            <w:tcW w:type="dxa" w:w="1656"/>
            <w:tcMar>
              <w:top w:w="110" w:type="dxa"/>
              <w:start w:w="120" w:type="dxa"/>
              <w:bottom w:w="110" w:type="dxa"/>
              <w:end w:w="120" w:type="dxa"/>
            </w:tcMar>
            <w:vAlign w:val="center"/>
            <w:shd w:fill="F3F7FA"/>
          </w:tcPr>
          <w:p>
            <w:pPr>
              <w:spacing w:after="0" w:line="276" w:lineRule="auto"/>
              <w:jc w:val="center"/>
            </w:pPr>
            <w:r>
              <w:rPr>
                <w:rFonts w:ascii="Arial" w:hAnsi="Arial" w:eastAsia="SimSun"/>
                <w:b w:val="0"/>
                <w:color w:val="000000"/>
                <w:sz w:val="18"/>
              </w:rPr>
              <w:t>时间标签</w:t>
            </w:r>
          </w:p>
        </w:tc>
        <w:tc>
          <w:tcPr>
            <w:tcW w:type="dxa" w:w="4896"/>
            <w:tcMar>
              <w:top w:w="110" w:type="dxa"/>
              <w:start w:w="120" w:type="dxa"/>
              <w:bottom w:w="110" w:type="dxa"/>
              <w:end w:w="120" w:type="dxa"/>
            </w:tcMar>
            <w:vAlign w:val="center"/>
            <w:shd w:fill="F3F7FA"/>
          </w:tcPr>
          <w:p>
            <w:pPr>
              <w:spacing w:after="0" w:line="276" w:lineRule="auto"/>
              <w:jc w:val="left"/>
            </w:pPr>
            <w:r>
              <w:rPr>
                <w:rFonts w:ascii="Arial" w:hAnsi="Arial" w:eastAsia="SimSun"/>
                <w:b w:val="0"/>
                <w:color w:val="000000"/>
                <w:sz w:val="18"/>
              </w:rPr>
              <w:t>严格保留附件 144 行顺序，同一行价格、负荷和光伏完全对齐</w:t>
            </w:r>
          </w:p>
        </w:tc>
        <w:tc>
          <w:tcPr>
            <w:tcW w:type="dxa" w:w="3240"/>
            <w:tcMar>
              <w:top w:w="110" w:type="dxa"/>
              <w:start w:w="120" w:type="dxa"/>
              <w:bottom w:w="110" w:type="dxa"/>
              <w:end w:w="120" w:type="dxa"/>
            </w:tcMar>
            <w:vAlign w:val="center"/>
            <w:shd w:fill="F3F7FA"/>
          </w:tcPr>
          <w:p>
            <w:pPr>
              <w:spacing w:after="0" w:line="276" w:lineRule="auto"/>
              <w:jc w:val="left"/>
            </w:pPr>
            <w:r>
              <w:rPr>
                <w:rFonts w:ascii="Arial" w:hAnsi="Arial" w:eastAsia="SimSun"/>
                <w:b w:val="0"/>
                <w:color w:val="000000"/>
                <w:sz w:val="18"/>
              </w:rPr>
              <w:t>结果模板标签原样回填，检查首尾 SOC 和总时长</w:t>
            </w:r>
          </w:p>
        </w:tc>
      </w:tr>
      <w:tr>
        <w:tc>
          <w:tcPr>
            <w:tcW w:type="dxa" w:w="1656"/>
            <w:tcMar>
              <w:top w:w="110" w:type="dxa"/>
              <w:start w:w="120" w:type="dxa"/>
              <w:bottom w:w="110" w:type="dxa"/>
              <w:end w:w="120" w:type="dxa"/>
            </w:tcMar>
            <w:vAlign w:val="center"/>
          </w:tcPr>
          <w:p>
            <w:pPr>
              <w:spacing w:after="0" w:line="276" w:lineRule="auto"/>
              <w:jc w:val="center"/>
            </w:pPr>
            <w:r>
              <w:rPr>
                <w:rFonts w:ascii="Arial" w:hAnsi="Arial" w:eastAsia="SimSun"/>
                <w:b w:val="0"/>
                <w:color w:val="000000"/>
                <w:sz w:val="18"/>
              </w:rPr>
              <w:t>小时预测映射</w:t>
            </w:r>
          </w:p>
        </w:tc>
        <w:tc>
          <w:tcPr>
            <w:tcW w:type="dxa" w:w="4896"/>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8"/>
              </w:rPr>
              <w:t>用发布时刻实测值作锚点，对未来小时预测分段线性插值到 10 分钟</w:t>
            </w:r>
          </w:p>
        </w:tc>
        <w:tc>
          <w:tcPr>
            <w:tcW w:type="dxa" w:w="3240"/>
            <w:tcMar>
              <w:top w:w="110" w:type="dxa"/>
              <w:start w:w="120" w:type="dxa"/>
              <w:bottom w:w="110" w:type="dxa"/>
              <w:end w:w="120" w:type="dxa"/>
            </w:tcMar>
            <w:vAlign w:val="center"/>
          </w:tcPr>
          <w:p>
            <w:pPr>
              <w:spacing w:after="0" w:line="276" w:lineRule="auto"/>
              <w:jc w:val="left"/>
            </w:pPr>
            <w:r>
              <w:rPr>
                <w:rFonts w:ascii="Arial" w:hAnsi="Arial" w:eastAsia="SimSun"/>
                <w:b w:val="0"/>
                <w:color w:val="000000"/>
                <w:sz w:val="18"/>
              </w:rPr>
              <w:t>以分段常值法作对照，检查结论稳定性</w:t>
            </w:r>
          </w:p>
        </w:tc>
      </w:tr>
    </w:tbl>
    <w:p>
      <w:pPr>
        <w:spacing w:after="20"/>
      </w:pPr>
    </w:p>
    <w:p>
      <w:pPr>
        <w:pStyle w:val="Heading1"/>
        <w:keepNext/>
      </w:pPr>
      <w:r>
        <w:t>九 队伍选型方式</w:t>
      </w:r>
    </w:p>
    <w:p>
      <w:pPr>
        <w:keepLines/>
        <w:spacing w:before="0" w:after="100" w:line="324" w:lineRule="auto"/>
        <w:ind w:firstLine="440"/>
      </w:pPr>
      <w:r>
        <w:rPr>
          <w:rFonts w:ascii="Arial" w:hAnsi="Arial" w:eastAsia="SimSun"/>
          <w:b w:val="0"/>
          <w:color w:val="000000"/>
          <w:sz w:val="22"/>
        </w:rPr>
        <w:t>推荐直接选择 H 路线。若需要更细的组合，可按下列格式确认：Q1 A，Q2 B 或 C，Q3 A 增强版，Q4 B。队伍确认前不锁定模型，也不进入正式编码。</w:t>
      </w:r>
    </w:p>
    <w:p>
      <w:pPr>
        <w:pStyle w:val="ListBullet"/>
        <w:spacing w:after="60" w:line="300" w:lineRule="auto"/>
        <w:ind w:left="400" w:hanging="200"/>
      </w:pPr>
      <w:r>
        <w:rPr>
          <w:rFonts w:ascii="Arial" w:hAnsi="Arial" w:eastAsia="SimSun"/>
          <w:b w:val="0"/>
          <w:color w:val="000000"/>
          <w:sz w:val="21"/>
        </w:rPr>
        <w:t>时间最紧：选择 D 路线。</w:t>
      </w:r>
    </w:p>
    <w:p>
      <w:pPr>
        <w:pStyle w:val="ListBullet"/>
        <w:spacing w:after="60" w:line="300" w:lineRule="auto"/>
        <w:ind w:left="400" w:hanging="200"/>
      </w:pPr>
      <w:r>
        <w:rPr>
          <w:rFonts w:ascii="Arial" w:hAnsi="Arial" w:eastAsia="SimSun"/>
          <w:b w:val="0"/>
          <w:color w:val="000000"/>
          <w:sz w:val="21"/>
        </w:rPr>
        <w:t>希望在稳定性和创新性之间平衡：选择 H 路线。</w:t>
      </w:r>
    </w:p>
    <w:p>
      <w:pPr>
        <w:pStyle w:val="ListBullet"/>
        <w:spacing w:after="60" w:line="300" w:lineRule="auto"/>
        <w:ind w:left="400" w:hanging="200"/>
      </w:pPr>
      <w:r>
        <w:rPr>
          <w:rFonts w:ascii="Arial" w:hAnsi="Arial" w:eastAsia="SimSun"/>
          <w:b w:val="0"/>
          <w:color w:val="000000"/>
          <w:sz w:val="21"/>
        </w:rPr>
        <w:t>队伍熟悉随机规划并有充分调试时间：选择 S 路线。</w:t>
      </w:r>
    </w:p>
    <w:p>
      <w:pPr>
        <w:pStyle w:val="ListBullet"/>
        <w:spacing w:after="60" w:line="300" w:lineRule="auto"/>
        <w:ind w:left="400" w:hanging="200"/>
      </w:pPr>
      <w:r>
        <w:rPr>
          <w:rFonts w:ascii="Arial" w:hAnsi="Arial" w:eastAsia="SimSun"/>
          <w:b w:val="0"/>
          <w:color w:val="000000"/>
          <w:sz w:val="21"/>
        </w:rPr>
        <w:t>特别强调极端安全：在 H 路线中加入 R 路线作为对照。</w:t>
      </w:r>
    </w:p>
    <w:p>
      <w:pPr>
        <w:pStyle w:val="Heading1"/>
        <w:keepNext/>
      </w:pPr>
      <w:r>
        <w:t>资料依据</w:t>
      </w:r>
    </w:p>
    <w:p>
      <w:pPr>
        <w:keepLines/>
        <w:spacing w:before="0" w:after="100" w:line="324" w:lineRule="auto"/>
      </w:pPr>
      <w:r>
        <w:rPr>
          <w:rFonts w:ascii="Arial" w:hAnsi="Arial" w:eastAsia="SimSun"/>
          <w:b w:val="0"/>
          <w:color w:val="000000"/>
          <w:sz w:val="22"/>
        </w:rPr>
        <w:t>赛题依据包括 C 题题面、附件一至附件四以及结果提交模板。数据分析以附件原始数据为准；国奖论文仅用于学习问题分析、模型推导、验证和论文表述方法。</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Arial" w:hAnsi="Arial" w:eastAsia="SimSu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数学建模国赛 C 题候选建模思路与选型理由</dc:title>
  <dc:subject>微网与外部电网电力调控策略候选模型比较</dc:subject>
  <dc:creator>参赛队伍</dc:creator>
  <cp:keywords>CUMCM, 微网, 线性规划, MPC, 随机优化</cp:keywords>
  <dc:description>generated by python-docx</dc:description>
  <cp:lastModifiedBy/>
  <cp:revision>1</cp:revision>
  <dcterms:created xsi:type="dcterms:W3CDTF">2013-12-23T23:15:00Z</dcterms:created>
  <dcterms:modified xsi:type="dcterms:W3CDTF">2013-12-23T23:15:00Z</dcterms:modified>
  <cp:category/>
</cp:coreProperties>
</file>