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Pr>
      <w:r>
        <w:rPr>
          <w:rFonts w:ascii="黑体" w:hAnsi="黑体" w:eastAsia="黑体"/>
          <w:b/>
          <w:sz w:val="32"/>
        </w:rPr>
        <w:t>基于机理-数据混合建模与多目标鲁棒优化的芯片微通道散热系统研究</w:t>
      </w:r>
    </w:p>
    <w:p>
      <w:pPr>
        <w:spacing w:before="160" w:after="120"/>
      </w:pPr>
      <w:r>
        <w:rPr>
          <w:rFonts w:ascii="黑体" w:hAnsi="黑体" w:eastAsia="黑体"/>
          <w:b/>
          <w:sz w:val="28"/>
        </w:rPr>
        <w:t>摘要</w:t>
      </w:r>
    </w:p>
    <w:p>
      <w:pPr>
        <w:spacing w:after="120" w:line="360" w:lineRule="auto"/>
        <w:ind w:firstLine="420"/>
      </w:pPr>
      <w:r>
        <w:rPr>
          <w:rFonts w:ascii="宋体" w:hAnsi="宋体" w:eastAsia="宋体"/>
          <w:b w:val="0"/>
          <w:sz w:val="24"/>
        </w:rPr>
        <w:t>随着芯片集成度与功率密度持续攀升，高效散热已成为决定芯片性能与可靠性的关键。本文针对歧管式微通道热管理系统，研究针肋宽度比$r$、歧管深高比$h$与针肋排数$n$对无量纲热阻$R$、压降$P$、温度非均匀性$T$的影响，完成机理建模、代理建模、多目标优化、鲁棒设计与稳健性分析五项任务。</w:t>
      </w:r>
    </w:p>
    <w:p>
      <w:pPr>
        <w:spacing w:after="120" w:line="360" w:lineRule="auto"/>
        <w:ind w:firstLine="420"/>
      </w:pPr>
      <w:r>
        <w:rPr>
          <w:rFonts w:ascii="宋体" w:hAnsi="宋体" w:eastAsia="宋体"/>
          <w:b/>
          <w:sz w:val="24"/>
        </w:rPr>
        <w:t>针对问题一</w:t>
      </w:r>
      <w:r>
        <w:rPr>
          <w:rFonts w:ascii="宋体" w:hAnsi="宋体" w:eastAsia="宋体"/>
          <w:b w:val="0"/>
          <w:sz w:val="24"/>
        </w:rPr>
        <w:t>，建立流向分段热—流耦合机理模型并标定，三指标相关系数达0.554、0.882、0.461，影响方向全部正确，再现$T$随$n$的U形谷值及$P$按$1/h^2$下降等主要规律，与样本数据中$R$、$T$随$r$的U形分布特征一致。</w:t>
      </w:r>
      <w:r>
        <w:rPr>
          <w:rFonts w:ascii="宋体" w:hAnsi="宋体" w:eastAsia="宋体"/>
          <w:b/>
          <w:sz w:val="24"/>
        </w:rPr>
        <w:t>针对问题二</w:t>
      </w:r>
      <w:r>
        <w:rPr>
          <w:rFonts w:ascii="宋体" w:hAnsi="宋体" w:eastAsia="宋体"/>
          <w:b w:val="0"/>
          <w:sz w:val="24"/>
        </w:rPr>
        <w:t>，构建高斯过程回归（GPR）代理模型，5折交叉验证$R^2$达0.9981、0.9988、0.9941，留一法达0.9986、0.9991、0.9966，并可输出预测方差。</w:t>
      </w:r>
      <w:r>
        <w:rPr>
          <w:rFonts w:ascii="宋体" w:hAnsi="宋体" w:eastAsia="宋体"/>
          <w:b/>
          <w:sz w:val="24"/>
        </w:rPr>
        <w:t>针对问题三</w:t>
      </w:r>
      <w:r>
        <w:rPr>
          <w:rFonts w:ascii="宋体" w:hAnsi="宋体" w:eastAsia="宋体"/>
          <w:b w:val="0"/>
          <w:sz w:val="24"/>
        </w:rPr>
        <w:t>，基于代理模型以NSGA-II求得442个Pareto点，熵权TOPSIS给出综合最优方案（$r=0.2148$，$h=4.50$，$n=6$），对应指标0.7351、0.0961、0.7908，等权重标量化方案较数据最优设计提升1.12%。</w:t>
      </w:r>
      <w:r>
        <w:rPr>
          <w:rFonts w:ascii="宋体" w:hAnsi="宋体" w:eastAsia="宋体"/>
          <w:b/>
          <w:sz w:val="24"/>
        </w:rPr>
        <w:t>针对问题四</w:t>
      </w:r>
      <w:r>
        <w:rPr>
          <w:rFonts w:ascii="宋体" w:hAnsi="宋体" w:eastAsia="宋体"/>
          <w:b w:val="0"/>
          <w:sz w:val="24"/>
        </w:rPr>
        <w:t>，提出权重域Max-Min鲁棒优化，经顶点闭式约简求解得鲁棒方案（$r=0.2364$，$h=4.50$，$n=6$），最坏情形性能0.2380与偏好敏感带宽0.0590均最小。</w:t>
      </w:r>
      <w:r>
        <w:rPr>
          <w:rFonts w:ascii="宋体" w:hAnsi="宋体" w:eastAsia="宋体"/>
          <w:b/>
          <w:sz w:val="24"/>
        </w:rPr>
        <w:t>针对问题五</w:t>
      </w:r>
      <w:r>
        <w:rPr>
          <w:rFonts w:ascii="宋体" w:hAnsi="宋体" w:eastAsia="宋体"/>
          <w:b w:val="0"/>
          <w:sz w:val="24"/>
        </w:rPr>
        <w:t>，双源蒙特卡洛（2万次）表明方案变异系数为$R$1.56%、$P$6.04%、$T$1.80%，$R$、$T$高度稳定、$P$基本稳定，失效概率分别0.22%、7.02%、0.08%，压降为主要风险源。</w:t>
      </w:r>
    </w:p>
    <w:p>
      <w:pPr>
        <w:spacing w:after="120" w:line="360" w:lineRule="auto"/>
        <w:ind w:firstLine="420"/>
      </w:pPr>
      <w:r>
        <w:rPr>
          <w:rFonts w:ascii="宋体" w:hAnsi="宋体" w:eastAsia="宋体"/>
          <w:b w:val="0"/>
          <w:sz w:val="24"/>
        </w:rPr>
        <w:t>本文的机理—代理混合建模与权重域鲁棒优化框架兼具物理可解释性、代理精度与稳健性，可为电子封装散热设计提供参考。</w:t>
      </w:r>
    </w:p>
    <w:p>
      <w:pPr>
        <w:spacing w:after="120" w:line="360" w:lineRule="auto"/>
        <w:ind w:firstLine="420"/>
      </w:pPr>
      <w:r>
        <w:rPr>
          <w:rFonts w:ascii="宋体" w:hAnsi="宋体" w:eastAsia="宋体"/>
          <w:b/>
          <w:sz w:val="24"/>
        </w:rPr>
        <w:t>关键词</w:t>
      </w:r>
      <w:r>
        <w:rPr>
          <w:rFonts w:ascii="宋体" w:hAnsi="宋体" w:eastAsia="宋体"/>
          <w:b w:val="0"/>
          <w:sz w:val="24"/>
        </w:rPr>
        <w:t>芯片热管理；高斯过程回归；多目标优化；鲁棒设计；蒙特卡洛模拟；灵敏度分析</w:t>
      </w:r>
    </w:p>
    <w:p>
      <w:pPr>
        <w:spacing w:before="240" w:after="160"/>
      </w:pPr>
      <w:r>
        <w:rPr>
          <w:rFonts w:ascii="黑体" w:hAnsi="黑体" w:eastAsia="黑体"/>
          <w:b/>
          <w:sz w:val="32"/>
        </w:rPr>
        <w:t>问题重述</w:t>
      </w:r>
    </w:p>
    <w:p>
      <w:pPr>
        <w:spacing w:after="120" w:line="360" w:lineRule="auto"/>
        <w:ind w:firstLine="420"/>
      </w:pPr>
      <w:r>
        <w:rPr>
          <w:rFonts w:ascii="宋体" w:hAnsi="宋体" w:eastAsia="宋体"/>
          <w:b w:val="0"/>
          <w:sz w:val="24"/>
        </w:rPr>
        <w:t>人工智能与高性能计算的快速发展使芯片算力需求激增，芯片功耗密度不断攀升，能否高效散热已成为制约芯片性能上限与服役可靠性的核心约束[1-3]。歧管式微通道液冷技术将冷却液先经歧管层均匀分配，再送入密集排布的微通道换热层，兼具换热系数高、温度分布均匀与结构紧凑等优点，是近年来电子封装散热领域的重要技术方向。系统综合性能主要由换热能力、流动代价与温度均匀程度共同决定，而这二者受通道结构参数直接影响，因此需要在传热与流动机理基础上定量刻画"结构参数—性能指标"映射关系，进而完成设计优化与稳健性评估。</w:t>
      </w:r>
    </w:p>
    <w:p>
      <w:pPr>
        <w:spacing w:after="120" w:line="360" w:lineRule="auto"/>
        <w:ind w:firstLine="420"/>
      </w:pPr>
      <w:r>
        <w:rPr>
          <w:rFonts w:ascii="宋体" w:hAnsi="宋体" w:eastAsia="宋体"/>
          <w:b w:val="0"/>
          <w:sz w:val="24"/>
        </w:rPr>
        <w:t>本文研究对象为某芯片歧管式微通道热管理系统，冷却介质为去离子水，衬底材料为氮化铝，芯片热源视为均匀体热源。三个关键结构参数为：针肋宽度比$r$（针肋直径与通道宽度之比，取值0~0.3）、歧管深高比$h$（歧管层深度与微通道层深度之比，取值3.0~4.5）、单个歧管单元内沿流向布置的针肋排数$n$（取值0~10的整数，数据支撑的可行集为偶数集）。三个性能指标为无量纲热阻$R$、无量纲压降$P$与无量纲温度非均匀性$T$，三者均希望尽可能小。附件1给出介质与衬底的物性参数和运行工况（入口质量流量1 g/s、入口温度293 K、芯片体热源强度5×10⁹ W/m³等），附件2给出84组由结构参数与性能指标构成的设计样本。</w:t>
      </w:r>
    </w:p>
    <w:p>
      <w:pPr>
        <w:spacing w:after="120" w:line="360" w:lineRule="auto"/>
        <w:ind w:firstLine="420"/>
      </w:pPr>
      <w:r>
        <w:rPr>
          <w:rFonts w:ascii="宋体" w:hAnsi="宋体" w:eastAsia="宋体"/>
          <w:b w:val="0"/>
          <w:sz w:val="24"/>
        </w:rPr>
        <w:t>需要解决的具体问题如下。</w:t>
      </w:r>
    </w:p>
    <w:p>
      <w:pPr>
        <w:spacing w:after="120" w:line="360" w:lineRule="auto"/>
        <w:ind w:firstLine="420"/>
      </w:pPr>
      <w:r>
        <w:rPr>
          <w:rFonts w:ascii="宋体" w:hAnsi="宋体" w:eastAsia="宋体"/>
          <w:b/>
          <w:sz w:val="24"/>
        </w:rPr>
        <w:t>问题一：</w:t>
      </w:r>
      <w:r>
        <w:rPr>
          <w:rFonts w:ascii="宋体" w:hAnsi="宋体" w:eastAsia="宋体"/>
          <w:b w:val="0"/>
          <w:sz w:val="24"/>
        </w:rPr>
        <w:t>结合传热与流动基本机理，建立结构参数与三项性能指标之间的数学模型，分析$r$、$h$、$n$对$R$、$P$、$T$的影响规律，并说明将三指标作为系统综合评价依据的合理性。</w:t>
      </w:r>
    </w:p>
    <w:p>
      <w:pPr>
        <w:spacing w:after="120" w:line="360" w:lineRule="auto"/>
        <w:ind w:firstLine="420"/>
      </w:pPr>
      <w:r>
        <w:rPr>
          <w:rFonts w:ascii="宋体" w:hAnsi="宋体" w:eastAsia="宋体"/>
          <w:b/>
          <w:sz w:val="24"/>
        </w:rPr>
        <w:t>问题二：</w:t>
      </w:r>
      <w:r>
        <w:rPr>
          <w:rFonts w:ascii="宋体" w:hAnsi="宋体" w:eastAsia="宋体"/>
          <w:b w:val="0"/>
          <w:sz w:val="24"/>
        </w:rPr>
        <w:t>基于附件2样本数据，建立刻画结构参数到性能指标映射关系的代理模型，并评估其拟合与预测效果。</w:t>
      </w:r>
    </w:p>
    <w:p>
      <w:pPr>
        <w:spacing w:after="120" w:line="360" w:lineRule="auto"/>
        <w:ind w:firstLine="420"/>
      </w:pPr>
      <w:r>
        <w:rPr>
          <w:rFonts w:ascii="宋体" w:hAnsi="宋体" w:eastAsia="宋体"/>
          <w:b/>
          <w:sz w:val="24"/>
        </w:rPr>
        <w:t>问题三：</w:t>
      </w:r>
      <w:r>
        <w:rPr>
          <w:rFonts w:ascii="宋体" w:hAnsi="宋体" w:eastAsia="宋体"/>
          <w:b w:val="0"/>
          <w:sz w:val="24"/>
        </w:rPr>
        <w:t>在代理模型基础上，以$R$、$P$、$T$尽可能小为目标建立优化模型，依据合理准则给出综合最优设计方案及其参数取值。</w:t>
      </w:r>
    </w:p>
    <w:p>
      <w:pPr>
        <w:spacing w:after="120" w:line="360" w:lineRule="auto"/>
        <w:ind w:firstLine="420"/>
      </w:pPr>
      <w:r>
        <w:rPr>
          <w:rFonts w:ascii="宋体" w:hAnsi="宋体" w:eastAsia="宋体"/>
          <w:b/>
          <w:sz w:val="24"/>
        </w:rPr>
        <w:t>问题四：</w:t>
      </w:r>
      <w:r>
        <w:rPr>
          <w:rFonts w:ascii="宋体" w:hAnsi="宋体" w:eastAsia="宋体"/>
          <w:b w:val="0"/>
          <w:sz w:val="24"/>
        </w:rPr>
        <w:t>研究三指标权重变化对最优设计方案的影响，给出对偏好变化不敏感、稳定性强的鲁棒设计方案，并说明判定依据。</w:t>
      </w:r>
    </w:p>
    <w:p>
      <w:pPr>
        <w:spacing w:after="120" w:line="360" w:lineRule="auto"/>
        <w:ind w:firstLine="420"/>
      </w:pPr>
      <w:r>
        <w:rPr>
          <w:rFonts w:ascii="宋体" w:hAnsi="宋体" w:eastAsia="宋体"/>
          <w:b/>
          <w:sz w:val="24"/>
        </w:rPr>
        <w:t>问题五：</w:t>
      </w:r>
      <w:r>
        <w:rPr>
          <w:rFonts w:ascii="宋体" w:hAnsi="宋体" w:eastAsia="宋体"/>
          <w:b w:val="0"/>
          <w:sz w:val="24"/>
        </w:rPr>
        <w:t>考虑加工误差与运行工况波动，分析关键参数小范围扰动对系统性能的影响，评估设计方案的敏感性与稳定性。</w:t>
      </w:r>
    </w:p>
    <w:p>
      <w:pPr>
        <w:spacing w:before="240" w:after="160"/>
      </w:pPr>
      <w:r>
        <w:rPr>
          <w:rFonts w:ascii="黑体" w:hAnsi="黑体" w:eastAsia="黑体"/>
          <w:b/>
          <w:sz w:val="32"/>
        </w:rPr>
        <w:t>问题分析</w:t>
      </w:r>
    </w:p>
    <w:p>
      <w:pPr>
        <w:spacing w:after="120" w:line="360" w:lineRule="auto"/>
        <w:ind w:firstLine="420"/>
      </w:pPr>
      <w:r>
        <w:rPr>
          <w:rFonts w:ascii="宋体" w:hAnsi="宋体" w:eastAsia="宋体"/>
          <w:b w:val="0"/>
          <w:sz w:val="24"/>
        </w:rPr>
        <w:t>本题是典型的多输入（$r$、$h$、$n$三个结构参数）—多输出（$R$、$P$、$T$三项性能指标）的机理建模、代理建模与多目标优化设计问题。将工程物理机理与数据驱动方法相结合是数学建模的常用范式[4]，五个子问题构成逐层递进的逻辑链条：问题一提供物理先验与可解释规律，问题二在问题一基础上建立高精度数据驱动映射，问题三依赖问题二的代理模型完成多目标优化，问题四研究权重域上的鲁棒设计，问题五检验设计方案在加工误差与工况波动下的稳健性。各子问题的任务性质与依赖关系如表2-1所示。</w:t>
      </w:r>
    </w:p>
    <w:p>
      <w:pPr>
        <w:spacing w:after="120" w:line="360" w:lineRule="auto"/>
        <w:ind w:firstLine="420"/>
      </w:pPr>
      <w:r>
        <w:rPr>
          <w:rFonts w:ascii="宋体" w:hAnsi="宋体" w:eastAsia="宋体"/>
          <w:b/>
          <w:sz w:val="24"/>
        </w:rPr>
        <w:t>表2-1 各子问题任务性质与依赖关系</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3024"/>
        <w:gridCol w:w="3024"/>
        <w:gridCol w:w="3024"/>
      </w:tblGrid>
      <w:tr>
        <w:tc>
          <w:tcPr>
            <w:tcW w:type="dxa" w:w="3024"/>
            <w:tcBorders>
              <w:bottom w:val="single" w:sz="6" w:color="000000"/>
            </w:tcBorders>
          </w:tcPr>
          <w:p>
            <w:pPr>
              <w:jc w:val="center"/>
            </w:pPr>
            <w:r/>
            <w:r>
              <w:rPr>
                <w:rFonts w:ascii="宋体" w:hAnsi="宋体" w:eastAsia="宋体"/>
                <w:b/>
                <w:sz w:val="21"/>
              </w:rPr>
              <w:t>问题</w:t>
            </w:r>
          </w:p>
        </w:tc>
        <w:tc>
          <w:tcPr>
            <w:tcW w:type="dxa" w:w="3024"/>
            <w:tcBorders>
              <w:bottom w:val="single" w:sz="6" w:color="000000"/>
            </w:tcBorders>
          </w:tcPr>
          <w:p>
            <w:pPr>
              <w:jc w:val="center"/>
            </w:pPr>
            <w:r/>
            <w:r>
              <w:rPr>
                <w:rFonts w:ascii="宋体" w:hAnsi="宋体" w:eastAsia="宋体"/>
                <w:b/>
                <w:sz w:val="21"/>
              </w:rPr>
              <w:t>任务性质</w:t>
            </w:r>
          </w:p>
        </w:tc>
        <w:tc>
          <w:tcPr>
            <w:tcW w:type="dxa" w:w="3024"/>
            <w:tcBorders>
              <w:bottom w:val="single" w:sz="6" w:color="000000"/>
            </w:tcBorders>
          </w:tcPr>
          <w:p>
            <w:pPr>
              <w:jc w:val="center"/>
            </w:pPr>
            <w:r/>
            <w:r>
              <w:rPr>
                <w:rFonts w:ascii="宋体" w:hAnsi="宋体" w:eastAsia="宋体"/>
                <w:b/>
                <w:sz w:val="21"/>
              </w:rPr>
              <w:t>主要依赖</w:t>
            </w:r>
          </w:p>
        </w:tc>
      </w:tr>
      <w:tr>
        <w:tc>
          <w:tcPr>
            <w:tcW w:type="dxa" w:w="3024"/>
          </w:tcPr>
          <w:p>
            <w:pPr>
              <w:jc w:val="center"/>
            </w:pPr>
            <w:r/>
            <w:r>
              <w:rPr>
                <w:rFonts w:ascii="宋体" w:hAnsi="宋体" w:eastAsia="宋体"/>
                <w:sz w:val="21"/>
              </w:rPr>
              <w:t>问题一</w:t>
            </w:r>
          </w:p>
        </w:tc>
        <w:tc>
          <w:tcPr>
            <w:tcW w:type="dxa" w:w="3024"/>
          </w:tcPr>
          <w:p>
            <w:pPr>
              <w:jc w:val="center"/>
            </w:pPr>
            <w:r/>
            <w:r>
              <w:rPr>
                <w:rFonts w:ascii="宋体" w:hAnsi="宋体" w:eastAsia="宋体"/>
                <w:sz w:val="21"/>
              </w:rPr>
              <w:t>机理建模与规律分析</w:t>
            </w:r>
          </w:p>
        </w:tc>
        <w:tc>
          <w:tcPr>
            <w:tcW w:type="dxa" w:w="3024"/>
          </w:tcPr>
          <w:p>
            <w:pPr>
              <w:jc w:val="center"/>
            </w:pPr>
            <w:r/>
            <w:r>
              <w:rPr>
                <w:rFonts w:ascii="宋体" w:hAnsi="宋体" w:eastAsia="宋体"/>
                <w:sz w:val="21"/>
              </w:rPr>
              <w:t>附件1、附件2</w:t>
            </w:r>
          </w:p>
        </w:tc>
      </w:tr>
      <w:tr>
        <w:tc>
          <w:tcPr>
            <w:tcW w:type="dxa" w:w="3024"/>
          </w:tcPr>
          <w:p>
            <w:pPr>
              <w:jc w:val="center"/>
            </w:pPr>
            <w:r/>
            <w:r>
              <w:rPr>
                <w:rFonts w:ascii="宋体" w:hAnsi="宋体" w:eastAsia="宋体"/>
                <w:sz w:val="21"/>
              </w:rPr>
              <w:t>问题二</w:t>
            </w:r>
          </w:p>
        </w:tc>
        <w:tc>
          <w:tcPr>
            <w:tcW w:type="dxa" w:w="3024"/>
          </w:tcPr>
          <w:p>
            <w:pPr>
              <w:jc w:val="center"/>
            </w:pPr>
            <w:r/>
            <w:r>
              <w:rPr>
                <w:rFonts w:ascii="宋体" w:hAnsi="宋体" w:eastAsia="宋体"/>
                <w:sz w:val="21"/>
              </w:rPr>
              <w:t>数据驱动代理建模</w:t>
            </w:r>
          </w:p>
        </w:tc>
        <w:tc>
          <w:tcPr>
            <w:tcW w:type="dxa" w:w="3024"/>
          </w:tcPr>
          <w:p>
            <w:pPr>
              <w:jc w:val="center"/>
            </w:pPr>
            <w:r/>
            <w:r>
              <w:rPr>
                <w:rFonts w:ascii="宋体" w:hAnsi="宋体" w:eastAsia="宋体"/>
                <w:sz w:val="21"/>
              </w:rPr>
              <w:t>问题一的变量理解、附件2</w:t>
            </w:r>
          </w:p>
        </w:tc>
      </w:tr>
      <w:tr>
        <w:tc>
          <w:tcPr>
            <w:tcW w:type="dxa" w:w="3024"/>
          </w:tcPr>
          <w:p>
            <w:pPr>
              <w:jc w:val="center"/>
            </w:pPr>
            <w:r/>
            <w:r>
              <w:rPr>
                <w:rFonts w:ascii="宋体" w:hAnsi="宋体" w:eastAsia="宋体"/>
                <w:sz w:val="21"/>
              </w:rPr>
              <w:t>问题三</w:t>
            </w:r>
          </w:p>
        </w:tc>
        <w:tc>
          <w:tcPr>
            <w:tcW w:type="dxa" w:w="3024"/>
          </w:tcPr>
          <w:p>
            <w:pPr>
              <w:jc w:val="center"/>
            </w:pPr>
            <w:r/>
            <w:r>
              <w:rPr>
                <w:rFonts w:ascii="宋体" w:hAnsi="宋体" w:eastAsia="宋体"/>
                <w:sz w:val="21"/>
              </w:rPr>
              <w:t>多目标优化设计</w:t>
            </w:r>
          </w:p>
        </w:tc>
        <w:tc>
          <w:tcPr>
            <w:tcW w:type="dxa" w:w="3024"/>
          </w:tcPr>
          <w:p>
            <w:pPr>
              <w:jc w:val="center"/>
            </w:pPr>
            <w:r/>
            <w:r>
              <w:rPr>
                <w:rFonts w:ascii="宋体" w:hAnsi="宋体" w:eastAsia="宋体"/>
                <w:sz w:val="21"/>
              </w:rPr>
              <w:t>问题二的代理模型</w:t>
            </w:r>
          </w:p>
        </w:tc>
      </w:tr>
      <w:tr>
        <w:tc>
          <w:tcPr>
            <w:tcW w:type="dxa" w:w="3024"/>
          </w:tcPr>
          <w:p>
            <w:pPr>
              <w:jc w:val="center"/>
            </w:pPr>
            <w:r/>
            <w:r>
              <w:rPr>
                <w:rFonts w:ascii="宋体" w:hAnsi="宋体" w:eastAsia="宋体"/>
                <w:sz w:val="21"/>
              </w:rPr>
              <w:t>问题四</w:t>
            </w:r>
          </w:p>
        </w:tc>
        <w:tc>
          <w:tcPr>
            <w:tcW w:type="dxa" w:w="3024"/>
          </w:tcPr>
          <w:p>
            <w:pPr>
              <w:jc w:val="center"/>
            </w:pPr>
            <w:r/>
            <w:r>
              <w:rPr>
                <w:rFonts w:ascii="宋体" w:hAnsi="宋体" w:eastAsia="宋体"/>
                <w:sz w:val="21"/>
              </w:rPr>
              <w:t>权重敏感性与鲁棒设计</w:t>
            </w:r>
          </w:p>
        </w:tc>
        <w:tc>
          <w:tcPr>
            <w:tcW w:type="dxa" w:w="3024"/>
          </w:tcPr>
          <w:p>
            <w:pPr>
              <w:jc w:val="center"/>
            </w:pPr>
            <w:r/>
            <w:r>
              <w:rPr>
                <w:rFonts w:ascii="宋体" w:hAnsi="宋体" w:eastAsia="宋体"/>
                <w:sz w:val="21"/>
              </w:rPr>
              <w:t>问题三的优化框架</w:t>
            </w:r>
          </w:p>
        </w:tc>
      </w:tr>
      <w:tr>
        <w:tc>
          <w:tcPr>
            <w:tcW w:type="dxa" w:w="3024"/>
          </w:tcPr>
          <w:p>
            <w:pPr>
              <w:jc w:val="center"/>
            </w:pPr>
            <w:r/>
            <w:r>
              <w:rPr>
                <w:rFonts w:ascii="宋体" w:hAnsi="宋体" w:eastAsia="宋体"/>
                <w:sz w:val="21"/>
              </w:rPr>
              <w:t>问题五</w:t>
            </w:r>
          </w:p>
        </w:tc>
        <w:tc>
          <w:tcPr>
            <w:tcW w:type="dxa" w:w="3024"/>
          </w:tcPr>
          <w:p>
            <w:pPr>
              <w:jc w:val="center"/>
            </w:pPr>
            <w:r/>
            <w:r>
              <w:rPr>
                <w:rFonts w:ascii="宋体" w:hAnsi="宋体" w:eastAsia="宋体"/>
                <w:sz w:val="21"/>
              </w:rPr>
              <w:t>扰动敏感性与稳健性分析</w:t>
            </w:r>
          </w:p>
        </w:tc>
        <w:tc>
          <w:tcPr>
            <w:tcW w:type="dxa" w:w="3024"/>
          </w:tcPr>
          <w:p>
            <w:pPr>
              <w:jc w:val="center"/>
            </w:pPr>
            <w:r/>
            <w:r>
              <w:rPr>
                <w:rFonts w:ascii="宋体" w:hAnsi="宋体" w:eastAsia="宋体"/>
                <w:sz w:val="21"/>
              </w:rPr>
              <w:t>问题二、问题三的方案</w:t>
            </w:r>
          </w:p>
        </w:tc>
      </w:tr>
    </w:tbl>
    <w:p>
      <w:pPr>
        <w:spacing w:before="160" w:after="120"/>
      </w:pPr>
      <w:r>
        <w:rPr>
          <w:rFonts w:ascii="黑体" w:hAnsi="黑体" w:eastAsia="黑体"/>
          <w:b/>
          <w:sz w:val="28"/>
        </w:rPr>
        <w:t>整体思路框架</w:t>
      </w:r>
    </w:p>
    <w:p>
      <w:pPr>
        <w:spacing w:after="120" w:line="360" w:lineRule="auto"/>
        <w:ind w:firstLine="420"/>
      </w:pPr>
      <w:r>
        <w:rPr>
          <w:rFonts w:ascii="宋体" w:hAnsi="宋体" w:eastAsia="宋体"/>
          <w:b w:val="0"/>
          <w:sz w:val="24"/>
        </w:rPr>
        <w:t>综上，本文总体技术路线为：先由问题一建立可解释的机理结构模型，再由问题二构建高精度GPR代理模型，进而在问题三完成多目标优化、问题四完成权重域鲁棒设计，最后由问题五完成扰动下的稳健性检验，形成"机理建模—代理建模—多目标优化—鲁棒设计—稳健性验证"的完整闭环。各问之间的数据流与依赖关系如图2-1所示。</w:t>
      </w:r>
    </w:p>
    <w:p>
      <w:pPr>
        <w:jc w:val="center"/>
      </w:pPr>
      <w:r>
        <w:drawing>
          <wp:inline xmlns:a="http://schemas.openxmlformats.org/drawingml/2006/main" xmlns:pic="http://schemas.openxmlformats.org/drawingml/2006/picture">
            <wp:extent cx="4860000" cy="3648612"/>
            <wp:docPr id="1" name="Picture 1"/>
            <wp:cNvGraphicFramePr>
              <a:graphicFrameLocks noChangeAspect="1"/>
            </wp:cNvGraphicFramePr>
            <a:graphic>
              <a:graphicData uri="http://schemas.openxmlformats.org/drawingml/2006/picture">
                <pic:pic>
                  <pic:nvPicPr>
                    <pic:cNvPr id="0" name="s0_route.png"/>
                    <pic:cNvPicPr/>
                  </pic:nvPicPr>
                  <pic:blipFill>
                    <a:blip r:embed="rId9"/>
                    <a:stretch>
                      <a:fillRect/>
                    </a:stretch>
                  </pic:blipFill>
                  <pic:spPr>
                    <a:xfrm>
                      <a:off x="0" y="0"/>
                      <a:ext cx="4860000" cy="3648612"/>
                    </a:xfrm>
                    <a:prstGeom prst="rect"/>
                  </pic:spPr>
                </pic:pic>
              </a:graphicData>
            </a:graphic>
          </wp:inline>
        </w:drawing>
      </w:r>
    </w:p>
    <w:p>
      <w:pPr>
        <w:spacing w:after="200" w:line="288" w:lineRule="auto"/>
        <w:jc w:val="center"/>
      </w:pPr>
      <w:r>
        <w:rPr>
          <w:rFonts w:ascii="黑体" w:hAnsi="黑体" w:eastAsia="黑体"/>
          <w:b w:val="0"/>
          <w:sz w:val="21"/>
        </w:rPr>
        <w:t>图2-1 总体技术路线图</w:t>
      </w:r>
    </w:p>
    <w:p>
      <w:pPr>
        <w:spacing w:before="160" w:after="120"/>
      </w:pPr>
      <w:r>
        <w:rPr>
          <w:rFonts w:ascii="黑体" w:hAnsi="黑体" w:eastAsia="黑体"/>
          <w:b/>
          <w:sz w:val="28"/>
        </w:rPr>
        <w:t>问题一的分析</w:t>
      </w:r>
    </w:p>
    <w:p>
      <w:pPr>
        <w:spacing w:after="120" w:line="360" w:lineRule="auto"/>
        <w:ind w:firstLine="420"/>
      </w:pPr>
      <w:r>
        <w:rPr>
          <w:rFonts w:ascii="宋体" w:hAnsi="宋体" w:eastAsia="宋体"/>
          <w:b w:val="0"/>
          <w:sz w:val="24"/>
        </w:rPr>
        <w:t>问题一要求从传热与流动基本机理出发建立数学模型。歧管式微通道内部为复杂三维流动，完全解析求解代价高，故采用"物理结构函数形式＋数据标定"的半经验路径：沿流向将换热层离散为若干段，逐段递推流体升温与壁面温度，用针肋肋效率刻画强化换热，用Darcy–Weisbach型关系刻画压降，再以过原点最小二乘标定无量纲化系数，从而复现各影响规律；三指标合理性论证从信息互补性与工程完备性两个角度展开。</w:t>
      </w:r>
    </w:p>
    <w:p>
      <w:pPr>
        <w:spacing w:before="160" w:after="120"/>
      </w:pPr>
      <w:r>
        <w:rPr>
          <w:rFonts w:ascii="黑体" w:hAnsi="黑体" w:eastAsia="黑体"/>
          <w:b/>
          <w:sz w:val="28"/>
        </w:rPr>
        <w:t>问题二的分析</w:t>
      </w:r>
    </w:p>
    <w:p>
      <w:pPr>
        <w:spacing w:after="120" w:line="360" w:lineRule="auto"/>
        <w:ind w:firstLine="420"/>
      </w:pPr>
      <w:r>
        <w:rPr>
          <w:rFonts w:ascii="宋体" w:hAnsi="宋体" w:eastAsia="宋体"/>
          <w:b w:val="0"/>
          <w:sz w:val="24"/>
        </w:rPr>
        <w:t>问题二是小样本（仅84组）多输入多输出回归问题。样本近似覆盖设计域，但样本量有限，需选择适合小样本且能给出预测不确定性的方法。高斯过程回归（GPR）基于平滑性与平稳性假设，天然适合此类场景，其预测方差可为问题五的不确定性传播提供来源。采用5折交叉验证与留一法双校验，并以多项式回归、随机森林作为基线量化对比。</w:t>
      </w:r>
    </w:p>
    <w:p>
      <w:pPr>
        <w:spacing w:before="160" w:after="120"/>
      </w:pPr>
      <w:r>
        <w:rPr>
          <w:rFonts w:ascii="黑体" w:hAnsi="黑体" w:eastAsia="黑体"/>
          <w:b/>
          <w:sz w:val="28"/>
        </w:rPr>
        <w:t>问题三的分析</w:t>
      </w:r>
    </w:p>
    <w:p>
      <w:pPr>
        <w:spacing w:after="120" w:line="360" w:lineRule="auto"/>
        <w:ind w:firstLine="420"/>
      </w:pPr>
      <w:r>
        <w:rPr>
          <w:rFonts w:ascii="宋体" w:hAnsi="宋体" w:eastAsia="宋体"/>
          <w:b w:val="0"/>
          <w:sz w:val="24"/>
        </w:rPr>
        <w:t>问题三在问题二代理模型之上构建多目标优化模型，难点在于针肋排数$n$为整数变量且受"无针肋即无排数"的耦合约束，$R$、$P$、$T$之间存在此消彼长的权衡。采用NSGA-II进化算法生成Pareto前沿，可天然处理多目标与耦合约束；随后用熵权法客观定权、TOPSIS法从前沿中选取综合最优方案，并以等权重TOPSIS与等权重标量化差分进化交叉验证。</w:t>
      </w:r>
    </w:p>
    <w:p>
      <w:pPr>
        <w:spacing w:before="160" w:after="120"/>
      </w:pPr>
      <w:r>
        <w:rPr>
          <w:rFonts w:ascii="黑体" w:hAnsi="黑体" w:eastAsia="黑体"/>
          <w:b/>
          <w:sz w:val="28"/>
        </w:rPr>
        <w:t>问题四的分析</w:t>
      </w:r>
    </w:p>
    <w:p>
      <w:pPr>
        <w:spacing w:after="120" w:line="360" w:lineRule="auto"/>
        <w:ind w:firstLine="420"/>
      </w:pPr>
      <w:r>
        <w:rPr>
          <w:rFonts w:ascii="宋体" w:hAnsi="宋体" w:eastAsia="宋体"/>
          <w:b w:val="0"/>
          <w:sz w:val="24"/>
        </w:rPr>
        <w:t>问题四关注决策者偏好（指标权重）变化对最优方案的影响，并要求给出对偏好变化不敏感的方案。将偏好用权重单纯形上的权重向量表示，先通过权重扫描刻画最优方案随偏好的漂移规律，再将"对偏好变化不敏感"严格定义为权重域最坏情形下加权性能最优，即Max-Min（Chebyshev）鲁棒优化问题。利用加权性能对权重线性、权重单纯形为凸多胞形的结构作顶点闭式约简，将双层优化化为单层求解，从而给出具有明确决策理论依据的鲁棒设计方案。</w:t>
      </w:r>
    </w:p>
    <w:p>
      <w:pPr>
        <w:spacing w:before="160" w:after="120"/>
      </w:pPr>
      <w:r>
        <w:rPr>
          <w:rFonts w:ascii="黑体" w:hAnsi="黑体" w:eastAsia="黑体"/>
          <w:b/>
          <w:sz w:val="28"/>
        </w:rPr>
        <w:t>问题五的分析</w:t>
      </w:r>
    </w:p>
    <w:p>
      <w:pPr>
        <w:spacing w:after="120" w:line="360" w:lineRule="auto"/>
        <w:ind w:firstLine="420"/>
      </w:pPr>
      <w:r>
        <w:rPr>
          <w:rFonts w:ascii="宋体" w:hAnsi="宋体" w:eastAsia="宋体"/>
          <w:b w:val="0"/>
          <w:sz w:val="24"/>
        </w:rPr>
        <w:t>问题五考察加工误差与工况波动两类不确定性对系统性能的影响。加工误差表现为结构参数的随机偏差，工况波动表现为入口流量等运行条件变化；此外代理模型本身存在认知不确定度。采用局部弹性系数快速排序参数主效应，采用双源蒙特卡洛将"参数偶然不确定度＋模型认知不确定度＋工况波动"传播为性能指标的分布，采用Sobol全局灵敏度刻画参数全局与交互效应，三者互补、交叉验证，给出概率化稳健性评估。</w:t>
      </w:r>
    </w:p>
    <w:p>
      <w:pPr>
        <w:spacing w:before="240" w:after="160"/>
      </w:pPr>
      <w:r>
        <w:rPr>
          <w:rFonts w:ascii="黑体" w:hAnsi="黑体" w:eastAsia="黑体"/>
          <w:b/>
          <w:sz w:val="32"/>
        </w:rPr>
        <w:t>模型假设</w:t>
      </w:r>
    </w:p>
    <w:p>
      <w:pPr>
        <w:spacing w:after="120" w:line="360" w:lineRule="auto"/>
        <w:ind w:firstLine="420"/>
      </w:pPr>
      <w:r>
        <w:rPr>
          <w:rFonts w:ascii="宋体" w:hAnsi="宋体" w:eastAsia="宋体"/>
          <w:b w:val="0"/>
          <w:sz w:val="24"/>
        </w:rPr>
        <w:t>根据问题背景与建模需要，作如下假设。</w:t>
      </w:r>
    </w:p>
    <w:p>
      <w:pPr>
        <w:spacing w:after="120" w:line="360" w:lineRule="auto"/>
        <w:ind w:firstLine="420"/>
      </w:pPr>
      <w:r>
        <w:rPr>
          <w:rFonts w:ascii="宋体" w:hAnsi="宋体" w:eastAsia="宋体"/>
          <w:b/>
          <w:sz w:val="24"/>
        </w:rPr>
        <w:t>假设1（稳态运行假设）：</w:t>
      </w:r>
      <w:r>
        <w:rPr>
          <w:rFonts w:ascii="宋体" w:hAnsi="宋体" w:eastAsia="宋体"/>
          <w:b w:val="0"/>
          <w:sz w:val="24"/>
        </w:rPr>
        <w:t>系统在长期运行时热—流状态达到稳态，温度场与流场不随时间变化。理由：芯片持续工作，瞬态热响应相对稳态量可忽略，简化控制方程。</w:t>
      </w:r>
    </w:p>
    <w:p>
      <w:pPr>
        <w:spacing w:after="120" w:line="360" w:lineRule="auto"/>
        <w:ind w:firstLine="420"/>
      </w:pPr>
      <w:r>
        <w:rPr>
          <w:rFonts w:ascii="宋体" w:hAnsi="宋体" w:eastAsia="宋体"/>
          <w:b/>
          <w:sz w:val="24"/>
        </w:rPr>
        <w:t>假设2（物性恒定假设）：</w:t>
      </w:r>
      <w:r>
        <w:rPr>
          <w:rFonts w:ascii="宋体" w:hAnsi="宋体" w:eastAsia="宋体"/>
          <w:b w:val="0"/>
          <w:sz w:val="24"/>
        </w:rPr>
        <w:t>冷却介质去离子水与衬底氮化铝的物性参数在293 K附近视为常数。理由：系统温升有限，物性变化小于5%，便于无量纲分析。</w:t>
      </w:r>
    </w:p>
    <w:p>
      <w:pPr>
        <w:spacing w:after="120" w:line="360" w:lineRule="auto"/>
        <w:ind w:firstLine="420"/>
      </w:pPr>
      <w:r>
        <w:rPr>
          <w:rFonts w:ascii="宋体" w:hAnsi="宋体" w:eastAsia="宋体"/>
          <w:b/>
          <w:sz w:val="24"/>
        </w:rPr>
        <w:t>假设3（均匀体热源假设）：</w:t>
      </w:r>
      <w:r>
        <w:rPr>
          <w:rFonts w:ascii="宋体" w:hAnsi="宋体" w:eastAsia="宋体"/>
          <w:b w:val="0"/>
          <w:sz w:val="24"/>
        </w:rPr>
        <w:t>芯片热源为均匀体热源，发热强度在芯片体积内均匀分布。理由：附件1明确"芯片热源可视为均匀体热源"。</w:t>
      </w:r>
    </w:p>
    <w:p>
      <w:pPr>
        <w:spacing w:after="120" w:line="360" w:lineRule="auto"/>
        <w:ind w:firstLine="420"/>
      </w:pPr>
      <w:r>
        <w:rPr>
          <w:rFonts w:ascii="宋体" w:hAnsi="宋体" w:eastAsia="宋体"/>
          <w:b/>
          <w:sz w:val="24"/>
        </w:rPr>
        <w:t>假设4（样本可靠性假设）：</w:t>
      </w:r>
      <w:r>
        <w:rPr>
          <w:rFonts w:ascii="宋体" w:hAnsi="宋体" w:eastAsia="宋体"/>
          <w:b w:val="0"/>
          <w:sz w:val="24"/>
        </w:rPr>
        <w:t>附件2的84组样本来自高保真仿真，数据平滑、无缺失与重复，随机噪声可忽略。理由：数据经检查无缺失值与重复值，无量纲曲线光滑。</w:t>
      </w:r>
    </w:p>
    <w:p>
      <w:pPr>
        <w:spacing w:after="120" w:line="360" w:lineRule="auto"/>
        <w:ind w:firstLine="420"/>
      </w:pPr>
      <w:r>
        <w:rPr>
          <w:rFonts w:ascii="宋体" w:hAnsi="宋体" w:eastAsia="宋体"/>
          <w:b/>
          <w:sz w:val="24"/>
        </w:rPr>
        <w:t>假设5（光滑连续映射假设）：</w:t>
      </w:r>
      <w:r>
        <w:rPr>
          <w:rFonts w:ascii="宋体" w:hAnsi="宋体" w:eastAsia="宋体"/>
          <w:b w:val="0"/>
          <w:sz w:val="24"/>
        </w:rPr>
        <w:t>三性能指标对设计参数存在光滑连续映射关系。理由：传热流动物理场连续，满足高斯过程回归等代理模型的先验要求。</w:t>
      </w:r>
    </w:p>
    <w:p>
      <w:pPr>
        <w:spacing w:after="120" w:line="360" w:lineRule="auto"/>
        <w:ind w:firstLine="420"/>
      </w:pPr>
      <w:r>
        <w:rPr>
          <w:rFonts w:ascii="宋体" w:hAnsi="宋体" w:eastAsia="宋体"/>
          <w:b/>
          <w:sz w:val="24"/>
        </w:rPr>
        <w:t>假设6（排数连续化与取整复算假设）：</w:t>
      </w:r>
      <w:r>
        <w:rPr>
          <w:rFonts w:ascii="宋体" w:hAnsi="宋体" w:eastAsia="宋体"/>
          <w:b w:val="0"/>
          <w:sz w:val="24"/>
        </w:rPr>
        <w:t>针肋排数$n$在代理模型中作连续化处理，优化结果就近取可行整数后以代理模型复算校正。理由：GPR需要连续输入，整数约束在优化环节处理，禁止直接四舍五入。</w:t>
      </w:r>
    </w:p>
    <w:p>
      <w:pPr>
        <w:spacing w:after="120" w:line="360" w:lineRule="auto"/>
        <w:ind w:firstLine="420"/>
      </w:pPr>
      <w:r>
        <w:rPr>
          <w:rFonts w:ascii="宋体" w:hAnsi="宋体" w:eastAsia="宋体"/>
          <w:b/>
          <w:sz w:val="24"/>
        </w:rPr>
        <w:t>假设7（指标可比性假设）：</w:t>
      </w:r>
      <w:r>
        <w:rPr>
          <w:rFonts w:ascii="宋体" w:hAnsi="宋体" w:eastAsia="宋体"/>
          <w:b w:val="0"/>
          <w:sz w:val="24"/>
        </w:rPr>
        <w:t>三指标可各自归一化到$[0,1]$区间以便比较。理由：无量纲量本身具有可比性，归一化是加权综合与TOPSIS的前提。</w:t>
      </w:r>
    </w:p>
    <w:p>
      <w:pPr>
        <w:spacing w:after="120" w:line="360" w:lineRule="auto"/>
        <w:ind w:firstLine="420"/>
      </w:pPr>
      <w:r>
        <w:rPr>
          <w:rFonts w:ascii="宋体" w:hAnsi="宋体" w:eastAsia="宋体"/>
          <w:b/>
          <w:sz w:val="24"/>
        </w:rPr>
        <w:t>假设8（权重单纯形假设）：</w:t>
      </w:r>
      <w:r>
        <w:rPr>
          <w:rFonts w:ascii="宋体" w:hAnsi="宋体" w:eastAsia="宋体"/>
          <w:b w:val="0"/>
          <w:sz w:val="24"/>
        </w:rPr>
        <w:t>三指标权重向量位于三维单纯形$\{\mathbf{w}\geq0,\ \sum w_i=1\}$上。理由：权重表示决策者对三指标的相对重视程度。</w:t>
      </w:r>
    </w:p>
    <w:p>
      <w:pPr>
        <w:spacing w:after="120" w:line="360" w:lineRule="auto"/>
        <w:ind w:firstLine="420"/>
      </w:pPr>
      <w:r>
        <w:rPr>
          <w:rFonts w:ascii="宋体" w:hAnsi="宋体" w:eastAsia="宋体"/>
          <w:b/>
          <w:sz w:val="24"/>
        </w:rPr>
        <w:t>假设9（有界扰动假设）：</w:t>
      </w:r>
      <w:r>
        <w:rPr>
          <w:rFonts w:ascii="宋体" w:hAnsi="宋体" w:eastAsia="宋体"/>
          <w:b w:val="0"/>
          <w:sz w:val="24"/>
        </w:rPr>
        <w:t>加工误差对$r$、$h$施加截断正态扰动（约±2%~3%）、对$n$施加±1排取整扰动，入口流量施加约±10%工况波动。理由：微通道制造公差与泵工况波动的典型水平。</w:t>
      </w:r>
    </w:p>
    <w:p>
      <w:pPr>
        <w:spacing w:after="120" w:line="360" w:lineRule="auto"/>
        <w:ind w:firstLine="420"/>
      </w:pPr>
      <w:r>
        <w:rPr>
          <w:rFonts w:ascii="宋体" w:hAnsi="宋体" w:eastAsia="宋体"/>
          <w:b/>
          <w:sz w:val="24"/>
        </w:rPr>
        <w:t>假设10（工况一阶不敏感假设）：</w:t>
      </w:r>
      <w:r>
        <w:rPr>
          <w:rFonts w:ascii="宋体" w:hAnsi="宋体" w:eastAsia="宋体"/>
          <w:b w:val="0"/>
          <w:sz w:val="24"/>
        </w:rPr>
        <w:t>工况小幅波动（1~2%）对无量纲指标与结构参数的映射关系近似一阶不敏感，可采用解析修正与小噪声叠加刻画。理由：无量纲化本身剥离了工况绝对量，一阶修正足以覆盖小幅波动。</w:t>
      </w:r>
    </w:p>
    <w:p>
      <w:pPr>
        <w:spacing w:after="120" w:line="360" w:lineRule="auto"/>
        <w:ind w:firstLine="420"/>
      </w:pPr>
      <w:r>
        <w:rPr>
          <w:rFonts w:ascii="宋体" w:hAnsi="宋体" w:eastAsia="宋体"/>
          <w:b/>
          <w:sz w:val="24"/>
        </w:rPr>
        <w:t>假设11（次要因素忽略假设）：</w:t>
      </w:r>
      <w:r>
        <w:rPr>
          <w:rFonts w:ascii="宋体" w:hAnsi="宋体" w:eastAsia="宋体"/>
          <w:b w:val="0"/>
          <w:sz w:val="24"/>
        </w:rPr>
        <w:t>忽略辐射换热、接触热阻及材料各向异性等次要传热因素。理由：相对主流对流换热与导热，其影响占比小，简化模型结构。</w:t>
      </w:r>
    </w:p>
    <w:p>
      <w:pPr>
        <w:spacing w:after="120" w:line="360" w:lineRule="auto"/>
        <w:ind w:firstLine="420"/>
      </w:pPr>
      <w:r>
        <w:rPr>
          <w:rFonts w:ascii="宋体" w:hAnsi="宋体" w:eastAsia="宋体"/>
          <w:b/>
          <w:sz w:val="24"/>
        </w:rPr>
        <w:t>假设12（无针肋—无排数耦合约束假设）：</w:t>
      </w:r>
      <w:r>
        <w:rPr>
          <w:rFonts w:ascii="宋体" w:hAnsi="宋体" w:eastAsia="宋体"/>
          <w:b w:val="0"/>
          <w:sz w:val="24"/>
        </w:rPr>
        <w:t>当$r=0$时无针肋故$n=0$；当$r&gt;0$时$n$取偶数集$\{2,4,6,8,10\}$。理由：该约束源于附件2数据采样规则（4组基线＋80组有针肋样本），优化求解须严格遵循。</w:t>
      </w:r>
    </w:p>
    <w:p>
      <w:pPr>
        <w:spacing w:after="120" w:line="360" w:lineRule="auto"/>
        <w:ind w:firstLine="420"/>
      </w:pPr>
      <w:r>
        <w:rPr>
          <w:rFonts w:ascii="宋体" w:hAnsi="宋体" w:eastAsia="宋体"/>
          <w:b/>
          <w:sz w:val="24"/>
        </w:rPr>
        <w:t>假设13（训练域内插假设）：</w:t>
      </w:r>
      <w:r>
        <w:rPr>
          <w:rFonts w:ascii="宋体" w:hAnsi="宋体" w:eastAsia="宋体"/>
          <w:b w:val="0"/>
          <w:sz w:val="24"/>
        </w:rPr>
        <w:t>代理模型仅在训练数据覆盖的设计域内可信，域外（如$n\in(0,2)$、$h&gt;4.5$）不作外推。理由：小样本代理缺乏域外信息，外推不可靠。</w:t>
      </w:r>
    </w:p>
    <w:p>
      <w:pPr>
        <w:spacing w:after="120" w:line="360" w:lineRule="auto"/>
        <w:ind w:firstLine="420"/>
      </w:pPr>
      <w:r>
        <w:rPr>
          <w:rFonts w:ascii="宋体" w:hAnsi="宋体" w:eastAsia="宋体"/>
          <w:b/>
          <w:sz w:val="24"/>
        </w:rPr>
        <w:t>假设14（温度非均匀性定义假设）：</w:t>
      </w:r>
      <w:r>
        <w:rPr>
          <w:rFonts w:ascii="宋体" w:hAnsi="宋体" w:eastAsia="宋体"/>
          <w:b w:val="0"/>
          <w:sz w:val="24"/>
        </w:rPr>
        <w:t>无量纲温度非均匀性定义为$T_{nd}=(T_{s,\max}-T_{s,\min})/(T_{s,\rm{mean}}-T_{in})$，其中$T_{s}$为散热器壁面温度。理由：该式刻画壁面最大温差相对温升的归一化程度，物理意义明确。</w:t>
      </w:r>
    </w:p>
    <w:p>
      <w:pPr>
        <w:spacing w:before="240" w:after="160"/>
      </w:pPr>
      <w:r>
        <w:rPr>
          <w:rFonts w:ascii="黑体" w:hAnsi="黑体" w:eastAsia="黑体"/>
          <w:b/>
          <w:sz w:val="32"/>
        </w:rPr>
        <w:t>符号说明</w:t>
      </w:r>
    </w:p>
    <w:p>
      <w:pPr>
        <w:spacing w:after="120" w:line="360" w:lineRule="auto"/>
        <w:ind w:firstLine="420"/>
      </w:pPr>
      <w:r>
        <w:rPr>
          <w:rFonts w:ascii="宋体" w:hAnsi="宋体" w:eastAsia="宋体"/>
          <w:b w:val="0"/>
          <w:sz w:val="24"/>
        </w:rPr>
        <w:t>本文主要符号按类别列于表4-1至表4-3，其余临时变量在正文首次出现时说明。</w:t>
      </w:r>
    </w:p>
    <w:p>
      <w:pPr>
        <w:spacing w:after="120" w:line="360" w:lineRule="auto"/>
        <w:ind w:firstLine="420"/>
      </w:pPr>
      <w:r>
        <w:rPr>
          <w:rFonts w:ascii="宋体" w:hAnsi="宋体" w:eastAsia="宋体"/>
          <w:b/>
          <w:sz w:val="24"/>
        </w:rPr>
        <w:t>表4-1 设计变量与性能指标符号</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3024"/>
        <w:gridCol w:w="3024"/>
        <w:gridCol w:w="3024"/>
      </w:tblGrid>
      <w:tr>
        <w:tc>
          <w:tcPr>
            <w:tcW w:type="dxa" w:w="3024"/>
            <w:tcBorders>
              <w:bottom w:val="single" w:sz="6" w:color="000000"/>
            </w:tcBorders>
          </w:tcPr>
          <w:p>
            <w:pPr>
              <w:jc w:val="center"/>
            </w:pPr>
            <w:r/>
            <w:r>
              <w:rPr>
                <w:rFonts w:ascii="宋体" w:hAnsi="宋体" w:eastAsia="宋体"/>
                <w:b/>
                <w:sz w:val="21"/>
              </w:rPr>
              <w:t>符号</w:t>
            </w:r>
          </w:p>
        </w:tc>
        <w:tc>
          <w:tcPr>
            <w:tcW w:type="dxa" w:w="3024"/>
            <w:tcBorders>
              <w:bottom w:val="single" w:sz="6" w:color="000000"/>
            </w:tcBorders>
          </w:tcPr>
          <w:p>
            <w:pPr>
              <w:jc w:val="center"/>
            </w:pPr>
            <w:r/>
            <w:r>
              <w:rPr>
                <w:rFonts w:ascii="宋体" w:hAnsi="宋体" w:eastAsia="宋体"/>
                <w:b/>
                <w:sz w:val="21"/>
              </w:rPr>
              <w:t>含义</w:t>
            </w:r>
          </w:p>
        </w:tc>
        <w:tc>
          <w:tcPr>
            <w:tcW w:type="dxa" w:w="3024"/>
            <w:tcBorders>
              <w:bottom w:val="single" w:sz="6" w:color="000000"/>
            </w:tcBorders>
          </w:tcPr>
          <w:p>
            <w:pPr>
              <w:jc w:val="center"/>
            </w:pPr>
            <w:r/>
            <w:r>
              <w:rPr>
                <w:rFonts w:ascii="宋体" w:hAnsi="宋体" w:eastAsia="宋体"/>
                <w:b/>
                <w:sz w:val="21"/>
              </w:rPr>
              <w:t>单位</w:t>
            </w:r>
          </w:p>
        </w:tc>
      </w:tr>
      <w:tr>
        <w:tc>
          <w:tcPr>
            <w:tcW w:type="dxa" w:w="3024"/>
          </w:tcPr>
          <w:p>
            <w:pPr>
              <w:jc w:val="center"/>
            </w:pPr>
            <w:r/>
            <w:r>
              <w:rPr>
                <w:rFonts w:ascii="宋体" w:hAnsi="宋体" w:eastAsia="宋体"/>
                <w:sz w:val="21"/>
              </w:rPr>
              <w:t>$r$</w:t>
            </w:r>
          </w:p>
        </w:tc>
        <w:tc>
          <w:tcPr>
            <w:tcW w:type="dxa" w:w="3024"/>
          </w:tcPr>
          <w:p>
            <w:pPr>
              <w:jc w:val="center"/>
            </w:pPr>
            <w:r/>
            <w:r>
              <w:rPr>
                <w:rFonts w:ascii="宋体" w:hAnsi="宋体" w:eastAsia="宋体"/>
                <w:sz w:val="21"/>
              </w:rPr>
              <w:t>针肋宽度比（针肋直径/通道宽度）</w:t>
            </w:r>
          </w:p>
        </w:tc>
        <w:tc>
          <w:tcPr>
            <w:tcW w:type="dxa" w:w="3024"/>
          </w:tcPr>
          <w:p>
            <w:pPr>
              <w:jc w:val="center"/>
            </w:pPr>
            <w:r/>
            <w:r>
              <w:rPr>
                <w:rFonts w:ascii="宋体" w:hAnsi="宋体" w:eastAsia="宋体"/>
                <w:sz w:val="21"/>
              </w:rPr>
              <w:t>—</w:t>
            </w:r>
          </w:p>
        </w:tc>
      </w:tr>
      <w:tr>
        <w:tc>
          <w:tcPr>
            <w:tcW w:type="dxa" w:w="3024"/>
          </w:tcPr>
          <w:p>
            <w:pPr>
              <w:jc w:val="center"/>
            </w:pPr>
            <w:r/>
            <w:r>
              <w:rPr>
                <w:rFonts w:ascii="宋体" w:hAnsi="宋体" w:eastAsia="宋体"/>
                <w:sz w:val="21"/>
              </w:rPr>
              <w:t>$h$</w:t>
            </w:r>
          </w:p>
        </w:tc>
        <w:tc>
          <w:tcPr>
            <w:tcW w:type="dxa" w:w="3024"/>
          </w:tcPr>
          <w:p>
            <w:pPr>
              <w:jc w:val="center"/>
            </w:pPr>
            <w:r/>
            <w:r>
              <w:rPr>
                <w:rFonts w:ascii="宋体" w:hAnsi="宋体" w:eastAsia="宋体"/>
                <w:sz w:val="21"/>
              </w:rPr>
              <w:t>歧管深高比（歧管层深度/微通道层深度）</w:t>
            </w:r>
          </w:p>
        </w:tc>
        <w:tc>
          <w:tcPr>
            <w:tcW w:type="dxa" w:w="3024"/>
          </w:tcPr>
          <w:p>
            <w:pPr>
              <w:jc w:val="center"/>
            </w:pPr>
            <w:r/>
            <w:r>
              <w:rPr>
                <w:rFonts w:ascii="宋体" w:hAnsi="宋体" w:eastAsia="宋体"/>
                <w:sz w:val="21"/>
              </w:rPr>
              <w:t>—</w:t>
            </w:r>
          </w:p>
        </w:tc>
      </w:tr>
      <w:tr>
        <w:tc>
          <w:tcPr>
            <w:tcW w:type="dxa" w:w="3024"/>
          </w:tcPr>
          <w:p>
            <w:pPr>
              <w:jc w:val="center"/>
            </w:pPr>
            <w:r/>
            <w:r>
              <w:rPr>
                <w:rFonts w:ascii="宋体" w:hAnsi="宋体" w:eastAsia="宋体"/>
                <w:sz w:val="21"/>
              </w:rPr>
              <w:t>$n$</w:t>
            </w:r>
          </w:p>
        </w:tc>
        <w:tc>
          <w:tcPr>
            <w:tcW w:type="dxa" w:w="3024"/>
          </w:tcPr>
          <w:p>
            <w:pPr>
              <w:jc w:val="center"/>
            </w:pPr>
            <w:r/>
            <w:r>
              <w:rPr>
                <w:rFonts w:ascii="宋体" w:hAnsi="宋体" w:eastAsia="宋体"/>
                <w:sz w:val="21"/>
              </w:rPr>
              <w:t>单个歧管单元内沿流向的针肋排数</w:t>
            </w:r>
          </w:p>
        </w:tc>
        <w:tc>
          <w:tcPr>
            <w:tcW w:type="dxa" w:w="3024"/>
          </w:tcPr>
          <w:p>
            <w:pPr>
              <w:jc w:val="center"/>
            </w:pPr>
            <w:r/>
            <w:r>
              <w:rPr>
                <w:rFonts w:ascii="宋体" w:hAnsi="宋体" w:eastAsia="宋体"/>
                <w:sz w:val="21"/>
              </w:rPr>
              <w:t>—</w:t>
            </w:r>
          </w:p>
        </w:tc>
      </w:tr>
      <w:tr>
        <w:tc>
          <w:tcPr>
            <w:tcW w:type="dxa" w:w="3024"/>
          </w:tcPr>
          <w:p>
            <w:pPr>
              <w:jc w:val="center"/>
            </w:pPr>
            <w:r/>
            <w:r>
              <w:rPr>
                <w:rFonts w:ascii="宋体" w:hAnsi="宋体" w:eastAsia="宋体"/>
                <w:sz w:val="21"/>
              </w:rPr>
              <w:t>$R$</w:t>
            </w:r>
          </w:p>
        </w:tc>
        <w:tc>
          <w:tcPr>
            <w:tcW w:type="dxa" w:w="3024"/>
          </w:tcPr>
          <w:p>
            <w:pPr>
              <w:jc w:val="center"/>
            </w:pPr>
            <w:r/>
            <w:r>
              <w:rPr>
                <w:rFonts w:ascii="宋体" w:hAnsi="宋体" w:eastAsia="宋体"/>
                <w:sz w:val="21"/>
              </w:rPr>
              <w:t>无量纲热阻</w:t>
            </w:r>
          </w:p>
        </w:tc>
        <w:tc>
          <w:tcPr>
            <w:tcW w:type="dxa" w:w="3024"/>
          </w:tcPr>
          <w:p>
            <w:pPr>
              <w:jc w:val="center"/>
            </w:pPr>
            <w:r/>
            <w:r>
              <w:rPr>
                <w:rFonts w:ascii="宋体" w:hAnsi="宋体" w:eastAsia="宋体"/>
                <w:sz w:val="21"/>
              </w:rPr>
              <w:t>—</w:t>
            </w:r>
          </w:p>
        </w:tc>
      </w:tr>
      <w:tr>
        <w:tc>
          <w:tcPr>
            <w:tcW w:type="dxa" w:w="3024"/>
          </w:tcPr>
          <w:p>
            <w:pPr>
              <w:jc w:val="center"/>
            </w:pPr>
            <w:r/>
            <w:r>
              <w:rPr>
                <w:rFonts w:ascii="宋体" w:hAnsi="宋体" w:eastAsia="宋体"/>
                <w:sz w:val="21"/>
              </w:rPr>
              <w:t>$P$</w:t>
            </w:r>
          </w:p>
        </w:tc>
        <w:tc>
          <w:tcPr>
            <w:tcW w:type="dxa" w:w="3024"/>
          </w:tcPr>
          <w:p>
            <w:pPr>
              <w:jc w:val="center"/>
            </w:pPr>
            <w:r/>
            <w:r>
              <w:rPr>
                <w:rFonts w:ascii="宋体" w:hAnsi="宋体" w:eastAsia="宋体"/>
                <w:sz w:val="21"/>
              </w:rPr>
              <w:t>无量纲压降</w:t>
            </w:r>
          </w:p>
        </w:tc>
        <w:tc>
          <w:tcPr>
            <w:tcW w:type="dxa" w:w="3024"/>
          </w:tcPr>
          <w:p>
            <w:pPr>
              <w:jc w:val="center"/>
            </w:pPr>
            <w:r/>
            <w:r>
              <w:rPr>
                <w:rFonts w:ascii="宋体" w:hAnsi="宋体" w:eastAsia="宋体"/>
                <w:sz w:val="21"/>
              </w:rPr>
              <w:t>—</w:t>
            </w:r>
          </w:p>
        </w:tc>
      </w:tr>
      <w:tr>
        <w:tc>
          <w:tcPr>
            <w:tcW w:type="dxa" w:w="3024"/>
          </w:tcPr>
          <w:p>
            <w:pPr>
              <w:jc w:val="center"/>
            </w:pPr>
            <w:r/>
            <w:r>
              <w:rPr>
                <w:rFonts w:ascii="宋体" w:hAnsi="宋体" w:eastAsia="宋体"/>
                <w:sz w:val="21"/>
              </w:rPr>
              <w:t>$T$</w:t>
            </w:r>
          </w:p>
        </w:tc>
        <w:tc>
          <w:tcPr>
            <w:tcW w:type="dxa" w:w="3024"/>
          </w:tcPr>
          <w:p>
            <w:pPr>
              <w:jc w:val="center"/>
            </w:pPr>
            <w:r/>
            <w:r>
              <w:rPr>
                <w:rFonts w:ascii="宋体" w:hAnsi="宋体" w:eastAsia="宋体"/>
                <w:sz w:val="21"/>
              </w:rPr>
              <w:t>无量纲温度非均匀性</w:t>
            </w:r>
          </w:p>
        </w:tc>
        <w:tc>
          <w:tcPr>
            <w:tcW w:type="dxa" w:w="3024"/>
          </w:tcPr>
          <w:p>
            <w:pPr>
              <w:jc w:val="center"/>
            </w:pPr>
            <w:r/>
            <w:r>
              <w:rPr>
                <w:rFonts w:ascii="宋体" w:hAnsi="宋体" w:eastAsia="宋体"/>
                <w:sz w:val="21"/>
              </w:rPr>
              <w:t>—</w:t>
            </w:r>
          </w:p>
        </w:tc>
      </w:tr>
      <w:tr>
        <w:tc>
          <w:tcPr>
            <w:tcW w:type="dxa" w:w="3024"/>
          </w:tcPr>
          <w:p>
            <w:pPr>
              <w:jc w:val="center"/>
            </w:pPr>
            <w:r/>
            <w:r>
              <w:rPr>
                <w:rFonts w:ascii="宋体" w:hAnsi="宋体" w:eastAsia="宋体"/>
                <w:sz w:val="21"/>
              </w:rPr>
              <w:t>$\tilde{R},\tilde{P},\tilde{T}$</w:t>
            </w:r>
          </w:p>
        </w:tc>
        <w:tc>
          <w:tcPr>
            <w:tcW w:type="dxa" w:w="3024"/>
          </w:tcPr>
          <w:p>
            <w:pPr>
              <w:jc w:val="center"/>
            </w:pPr>
            <w:r/>
            <w:r>
              <w:rPr>
                <w:rFonts w:ascii="宋体" w:hAnsi="宋体" w:eastAsia="宋体"/>
                <w:sz w:val="21"/>
              </w:rPr>
              <w:t>归一化热阻/压降/温度非均匀性（0~1）</w:t>
            </w:r>
          </w:p>
        </w:tc>
        <w:tc>
          <w:tcPr>
            <w:tcW w:type="dxa" w:w="3024"/>
          </w:tcPr>
          <w:p>
            <w:pPr>
              <w:jc w:val="center"/>
            </w:pPr>
            <w:r/>
            <w:r>
              <w:rPr>
                <w:rFonts w:ascii="宋体" w:hAnsi="宋体" w:eastAsia="宋体"/>
                <w:sz w:val="21"/>
              </w:rPr>
              <w:t>—</w:t>
            </w:r>
          </w:p>
        </w:tc>
      </w:tr>
      <w:tr>
        <w:tc>
          <w:tcPr>
            <w:tcW w:type="dxa" w:w="3024"/>
          </w:tcPr>
          <w:p>
            <w:pPr>
              <w:jc w:val="center"/>
            </w:pPr>
            <w:r/>
            <w:r>
              <w:rPr>
                <w:rFonts w:ascii="宋体" w:hAnsi="宋体" w:eastAsia="宋体"/>
                <w:sz w:val="21"/>
              </w:rPr>
              <w:t>$w_R,w_P,w_T$</w:t>
            </w:r>
          </w:p>
        </w:tc>
        <w:tc>
          <w:tcPr>
            <w:tcW w:type="dxa" w:w="3024"/>
          </w:tcPr>
          <w:p>
            <w:pPr>
              <w:jc w:val="center"/>
            </w:pPr>
            <w:r/>
            <w:r>
              <w:rPr>
                <w:rFonts w:ascii="宋体" w:hAnsi="宋体" w:eastAsia="宋体"/>
                <w:sz w:val="21"/>
              </w:rPr>
              <w:t>三性能指标权重（$\sum w_i=1$）</w:t>
            </w:r>
          </w:p>
        </w:tc>
        <w:tc>
          <w:tcPr>
            <w:tcW w:type="dxa" w:w="3024"/>
          </w:tcPr>
          <w:p>
            <w:pPr>
              <w:jc w:val="center"/>
            </w:pPr>
            <w:r/>
            <w:r>
              <w:rPr>
                <w:rFonts w:ascii="宋体" w:hAnsi="宋体" w:eastAsia="宋体"/>
                <w:sz w:val="21"/>
              </w:rPr>
              <w:t>—</w:t>
            </w:r>
          </w:p>
        </w:tc>
      </w:tr>
      <w:tr>
        <w:tc>
          <w:tcPr>
            <w:tcW w:type="dxa" w:w="3024"/>
          </w:tcPr>
          <w:p>
            <w:pPr>
              <w:jc w:val="center"/>
            </w:pPr>
            <w:r/>
            <w:r>
              <w:rPr>
                <w:rFonts w:ascii="宋体" w:hAnsi="宋体" w:eastAsia="宋体"/>
                <w:sz w:val="21"/>
              </w:rPr>
              <w:t>$T_{nd}$</w:t>
            </w:r>
          </w:p>
        </w:tc>
        <w:tc>
          <w:tcPr>
            <w:tcW w:type="dxa" w:w="3024"/>
          </w:tcPr>
          <w:p>
            <w:pPr>
              <w:jc w:val="center"/>
            </w:pPr>
            <w:r/>
            <w:r>
              <w:rPr>
                <w:rFonts w:ascii="宋体" w:hAnsi="宋体" w:eastAsia="宋体"/>
                <w:sz w:val="21"/>
              </w:rPr>
              <w:t>无量纲温度非均匀性（定义式）</w:t>
            </w:r>
          </w:p>
        </w:tc>
        <w:tc>
          <w:tcPr>
            <w:tcW w:type="dxa" w:w="3024"/>
          </w:tcPr>
          <w:p>
            <w:pPr>
              <w:jc w:val="center"/>
            </w:pPr>
            <w:r/>
            <w:r>
              <w:rPr>
                <w:rFonts w:ascii="宋体" w:hAnsi="宋体" w:eastAsia="宋体"/>
                <w:sz w:val="21"/>
              </w:rPr>
              <w:t>—</w:t>
            </w:r>
          </w:p>
        </w:tc>
      </w:tr>
      <w:tr>
        <w:tc>
          <w:tcPr>
            <w:tcW w:type="dxa" w:w="3024"/>
          </w:tcPr>
          <w:p>
            <w:pPr>
              <w:jc w:val="center"/>
            </w:pPr>
            <w:r/>
            <w:r>
              <w:rPr>
                <w:rFonts w:ascii="宋体" w:hAnsi="宋体" w:eastAsia="宋体"/>
                <w:sz w:val="21"/>
              </w:rPr>
              <w:t>$R_{th}$</w:t>
            </w:r>
          </w:p>
        </w:tc>
        <w:tc>
          <w:tcPr>
            <w:tcW w:type="dxa" w:w="3024"/>
          </w:tcPr>
          <w:p>
            <w:pPr>
              <w:jc w:val="center"/>
            </w:pPr>
            <w:r/>
            <w:r>
              <w:rPr>
                <w:rFonts w:ascii="宋体" w:hAnsi="宋体" w:eastAsia="宋体"/>
                <w:sz w:val="21"/>
              </w:rPr>
              <w:t>物理热阻（无量纲化前）</w:t>
            </w:r>
          </w:p>
        </w:tc>
        <w:tc>
          <w:tcPr>
            <w:tcW w:type="dxa" w:w="3024"/>
          </w:tcPr>
          <w:p>
            <w:pPr>
              <w:jc w:val="center"/>
            </w:pPr>
            <w:r/>
            <w:r>
              <w:rPr>
                <w:rFonts w:ascii="宋体" w:hAnsi="宋体" w:eastAsia="宋体"/>
                <w:sz w:val="21"/>
              </w:rPr>
              <w:t>K/W</w:t>
            </w:r>
          </w:p>
        </w:tc>
      </w:tr>
      <w:tr>
        <w:tc>
          <w:tcPr>
            <w:tcW w:type="dxa" w:w="3024"/>
          </w:tcPr>
          <w:p>
            <w:pPr>
              <w:jc w:val="center"/>
            </w:pPr>
            <w:r/>
            <w:r>
              <w:rPr>
                <w:rFonts w:ascii="宋体" w:hAnsi="宋体" w:eastAsia="宋体"/>
                <w:sz w:val="21"/>
              </w:rPr>
              <w:t>$\Delta P$</w:t>
            </w:r>
          </w:p>
        </w:tc>
        <w:tc>
          <w:tcPr>
            <w:tcW w:type="dxa" w:w="3024"/>
          </w:tcPr>
          <w:p>
            <w:pPr>
              <w:jc w:val="center"/>
            </w:pPr>
            <w:r/>
            <w:r>
              <w:rPr>
                <w:rFonts w:ascii="宋体" w:hAnsi="宋体" w:eastAsia="宋体"/>
                <w:sz w:val="21"/>
              </w:rPr>
              <w:t>物理压降</w:t>
            </w:r>
          </w:p>
        </w:tc>
        <w:tc>
          <w:tcPr>
            <w:tcW w:type="dxa" w:w="3024"/>
          </w:tcPr>
          <w:p>
            <w:pPr>
              <w:jc w:val="center"/>
            </w:pPr>
            <w:r/>
            <w:r>
              <w:rPr>
                <w:rFonts w:ascii="宋体" w:hAnsi="宋体" w:eastAsia="宋体"/>
                <w:sz w:val="21"/>
              </w:rPr>
              <w:t>Pa</w:t>
            </w:r>
          </w:p>
        </w:tc>
      </w:tr>
      <w:tr>
        <w:tc>
          <w:tcPr>
            <w:tcW w:type="dxa" w:w="3024"/>
          </w:tcPr>
          <w:p>
            <w:pPr>
              <w:jc w:val="center"/>
            </w:pPr>
            <w:r/>
            <w:r>
              <w:rPr>
                <w:rFonts w:ascii="宋体" w:hAnsi="宋体" w:eastAsia="宋体"/>
                <w:sz w:val="21"/>
              </w:rPr>
              <w:t>$\kappa_R,\kappa_P,\kappa_T$</w:t>
            </w:r>
          </w:p>
        </w:tc>
        <w:tc>
          <w:tcPr>
            <w:tcW w:type="dxa" w:w="3024"/>
          </w:tcPr>
          <w:p>
            <w:pPr>
              <w:jc w:val="center"/>
            </w:pPr>
            <w:r/>
            <w:r>
              <w:rPr>
                <w:rFonts w:ascii="宋体" w:hAnsi="宋体" w:eastAsia="宋体"/>
                <w:sz w:val="21"/>
              </w:rPr>
              <w:t>无量纲化标定系数（过原点最小二乘）</w:t>
            </w:r>
          </w:p>
        </w:tc>
        <w:tc>
          <w:tcPr>
            <w:tcW w:type="dxa" w:w="3024"/>
          </w:tcPr>
          <w:p>
            <w:pPr>
              <w:jc w:val="center"/>
            </w:pPr>
            <w:r/>
            <w:r>
              <w:rPr>
                <w:rFonts w:ascii="宋体" w:hAnsi="宋体" w:eastAsia="宋体"/>
                <w:sz w:val="21"/>
              </w:rPr>
              <w:t>—</w:t>
            </w:r>
          </w:p>
        </w:tc>
      </w:tr>
    </w:tbl>
    <w:p>
      <w:pPr>
        <w:spacing w:after="120" w:line="360" w:lineRule="auto"/>
        <w:ind w:firstLine="420"/>
      </w:pPr>
      <w:r>
        <w:rPr>
          <w:rFonts w:ascii="宋体" w:hAnsi="宋体" w:eastAsia="宋体"/>
          <w:b/>
          <w:sz w:val="24"/>
        </w:rPr>
        <w:t>表4-2 机理模型物理参数符号</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3024"/>
        <w:gridCol w:w="3024"/>
        <w:gridCol w:w="3024"/>
      </w:tblGrid>
      <w:tr>
        <w:tc>
          <w:tcPr>
            <w:tcW w:type="dxa" w:w="3024"/>
            <w:tcBorders>
              <w:bottom w:val="single" w:sz="6" w:color="000000"/>
            </w:tcBorders>
          </w:tcPr>
          <w:p>
            <w:pPr>
              <w:jc w:val="center"/>
            </w:pPr>
            <w:r/>
            <w:r>
              <w:rPr>
                <w:rFonts w:ascii="宋体" w:hAnsi="宋体" w:eastAsia="宋体"/>
                <w:b/>
                <w:sz w:val="21"/>
              </w:rPr>
              <w:t>符号</w:t>
            </w:r>
          </w:p>
        </w:tc>
        <w:tc>
          <w:tcPr>
            <w:tcW w:type="dxa" w:w="3024"/>
            <w:tcBorders>
              <w:bottom w:val="single" w:sz="6" w:color="000000"/>
            </w:tcBorders>
          </w:tcPr>
          <w:p>
            <w:pPr>
              <w:jc w:val="center"/>
            </w:pPr>
            <w:r/>
            <w:r>
              <w:rPr>
                <w:rFonts w:ascii="宋体" w:hAnsi="宋体" w:eastAsia="宋体"/>
                <w:b/>
                <w:sz w:val="21"/>
              </w:rPr>
              <w:t>含义</w:t>
            </w:r>
          </w:p>
        </w:tc>
        <w:tc>
          <w:tcPr>
            <w:tcW w:type="dxa" w:w="3024"/>
            <w:tcBorders>
              <w:bottom w:val="single" w:sz="6" w:color="000000"/>
            </w:tcBorders>
          </w:tcPr>
          <w:p>
            <w:pPr>
              <w:jc w:val="center"/>
            </w:pPr>
            <w:r/>
            <w:r>
              <w:rPr>
                <w:rFonts w:ascii="宋体" w:hAnsi="宋体" w:eastAsia="宋体"/>
                <w:b/>
                <w:sz w:val="21"/>
              </w:rPr>
              <w:t>单位</w:t>
            </w:r>
          </w:p>
        </w:tc>
      </w:tr>
      <w:tr>
        <w:tc>
          <w:tcPr>
            <w:tcW w:type="dxa" w:w="3024"/>
          </w:tcPr>
          <w:p>
            <w:pPr>
              <w:jc w:val="center"/>
            </w:pPr>
            <w:r/>
            <w:r>
              <w:rPr>
                <w:rFonts w:ascii="宋体" w:hAnsi="宋体" w:eastAsia="宋体"/>
                <w:sz w:val="21"/>
              </w:rPr>
              <w:t>$N_{CH}$</w:t>
            </w:r>
          </w:p>
        </w:tc>
        <w:tc>
          <w:tcPr>
            <w:tcW w:type="dxa" w:w="3024"/>
          </w:tcPr>
          <w:p>
            <w:pPr>
              <w:jc w:val="center"/>
            </w:pPr>
            <w:r/>
            <w:r>
              <w:rPr>
                <w:rFonts w:ascii="宋体" w:hAnsi="宋体" w:eastAsia="宋体"/>
                <w:sz w:val="21"/>
              </w:rPr>
              <w:t>歧管单元内微通道数</w:t>
            </w:r>
          </w:p>
        </w:tc>
        <w:tc>
          <w:tcPr>
            <w:tcW w:type="dxa" w:w="3024"/>
          </w:tcPr>
          <w:p>
            <w:pPr>
              <w:jc w:val="center"/>
            </w:pPr>
            <w:r/>
            <w:r>
              <w:rPr>
                <w:rFonts w:ascii="宋体" w:hAnsi="宋体" w:eastAsia="宋体"/>
                <w:sz w:val="21"/>
              </w:rPr>
              <w:t>—</w:t>
            </w:r>
          </w:p>
        </w:tc>
      </w:tr>
      <w:tr>
        <w:tc>
          <w:tcPr>
            <w:tcW w:type="dxa" w:w="3024"/>
          </w:tcPr>
          <w:p>
            <w:pPr>
              <w:jc w:val="center"/>
            </w:pPr>
            <w:r/>
            <w:r>
              <w:rPr>
                <w:rFonts w:ascii="宋体" w:hAnsi="宋体" w:eastAsia="宋体"/>
                <w:sz w:val="21"/>
              </w:rPr>
              <w:t>$W_{CH},H_{CH}$</w:t>
            </w:r>
          </w:p>
        </w:tc>
        <w:tc>
          <w:tcPr>
            <w:tcW w:type="dxa" w:w="3024"/>
          </w:tcPr>
          <w:p>
            <w:pPr>
              <w:jc w:val="center"/>
            </w:pPr>
            <w:r/>
            <w:r>
              <w:rPr>
                <w:rFonts w:ascii="宋体" w:hAnsi="宋体" w:eastAsia="宋体"/>
                <w:sz w:val="21"/>
              </w:rPr>
              <w:t>微通道宽度、高度</w:t>
            </w:r>
          </w:p>
        </w:tc>
        <w:tc>
          <w:tcPr>
            <w:tcW w:type="dxa" w:w="3024"/>
          </w:tcPr>
          <w:p>
            <w:pPr>
              <w:jc w:val="center"/>
            </w:pPr>
            <w:r/>
            <w:r>
              <w:rPr>
                <w:rFonts w:ascii="宋体" w:hAnsi="宋体" w:eastAsia="宋体"/>
                <w:sz w:val="21"/>
              </w:rPr>
              <w:t>m</w:t>
            </w:r>
          </w:p>
        </w:tc>
      </w:tr>
      <w:tr>
        <w:tc>
          <w:tcPr>
            <w:tcW w:type="dxa" w:w="3024"/>
          </w:tcPr>
          <w:p>
            <w:pPr>
              <w:jc w:val="center"/>
            </w:pPr>
            <w:r/>
            <w:r>
              <w:rPr>
                <w:rFonts w:ascii="宋体" w:hAnsi="宋体" w:eastAsia="宋体"/>
                <w:sz w:val="21"/>
              </w:rPr>
              <w:t>$A_{base},A_{fin}$</w:t>
            </w:r>
          </w:p>
        </w:tc>
        <w:tc>
          <w:tcPr>
            <w:tcW w:type="dxa" w:w="3024"/>
          </w:tcPr>
          <w:p>
            <w:pPr>
              <w:jc w:val="center"/>
            </w:pPr>
            <w:r/>
            <w:r>
              <w:rPr>
                <w:rFonts w:ascii="宋体" w:hAnsi="宋体" w:eastAsia="宋体"/>
                <w:sz w:val="21"/>
              </w:rPr>
              <w:t>基座润湿面积、针肋面积</w:t>
            </w:r>
          </w:p>
        </w:tc>
        <w:tc>
          <w:tcPr>
            <w:tcW w:type="dxa" w:w="3024"/>
          </w:tcPr>
          <w:p>
            <w:pPr>
              <w:jc w:val="center"/>
            </w:pPr>
            <w:r/>
            <w:r>
              <w:rPr>
                <w:rFonts w:ascii="宋体" w:hAnsi="宋体" w:eastAsia="宋体"/>
                <w:sz w:val="21"/>
              </w:rPr>
              <w:t>m²</w:t>
            </w:r>
          </w:p>
        </w:tc>
      </w:tr>
      <w:tr>
        <w:tc>
          <w:tcPr>
            <w:tcW w:type="dxa" w:w="3024"/>
          </w:tcPr>
          <w:p>
            <w:pPr>
              <w:jc w:val="center"/>
            </w:pPr>
            <w:r/>
            <w:r>
              <w:rPr>
                <w:rFonts w:ascii="宋体" w:hAnsi="宋体" w:eastAsia="宋体"/>
                <w:sz w:val="21"/>
              </w:rPr>
              <w:t>$\eta_f$</w:t>
            </w:r>
          </w:p>
        </w:tc>
        <w:tc>
          <w:tcPr>
            <w:tcW w:type="dxa" w:w="3024"/>
          </w:tcPr>
          <w:p>
            <w:pPr>
              <w:jc w:val="center"/>
            </w:pPr>
            <w:r/>
            <w:r>
              <w:rPr>
                <w:rFonts w:ascii="宋体" w:hAnsi="宋体" w:eastAsia="宋体"/>
                <w:sz w:val="21"/>
              </w:rPr>
              <w:t>针肋肋效率</w:t>
            </w:r>
          </w:p>
        </w:tc>
        <w:tc>
          <w:tcPr>
            <w:tcW w:type="dxa" w:w="3024"/>
          </w:tcPr>
          <w:p>
            <w:pPr>
              <w:jc w:val="center"/>
            </w:pPr>
            <w:r/>
            <w:r>
              <w:rPr>
                <w:rFonts w:ascii="宋体" w:hAnsi="宋体" w:eastAsia="宋体"/>
                <w:sz w:val="21"/>
              </w:rPr>
              <w:t>—</w:t>
            </w:r>
          </w:p>
        </w:tc>
      </w:tr>
      <w:tr>
        <w:tc>
          <w:tcPr>
            <w:tcW w:type="dxa" w:w="3024"/>
          </w:tcPr>
          <w:p>
            <w:pPr>
              <w:jc w:val="center"/>
            </w:pPr>
            <w:r/>
            <w:r>
              <w:rPr>
                <w:rFonts w:ascii="宋体" w:hAnsi="宋体" w:eastAsia="宋体"/>
                <w:sz w:val="21"/>
              </w:rPr>
              <w:t>$m$</w:t>
            </w:r>
          </w:p>
        </w:tc>
        <w:tc>
          <w:tcPr>
            <w:tcW w:type="dxa" w:w="3024"/>
          </w:tcPr>
          <w:p>
            <w:pPr>
              <w:jc w:val="center"/>
            </w:pPr>
            <w:r/>
            <w:r>
              <w:rPr>
                <w:rFonts w:ascii="宋体" w:hAnsi="宋体" w:eastAsia="宋体"/>
                <w:sz w:val="21"/>
              </w:rPr>
              <w:t>肋效率参数（$\sqrt{4h_c/(k_f d)}$）</w:t>
            </w:r>
          </w:p>
        </w:tc>
        <w:tc>
          <w:tcPr>
            <w:tcW w:type="dxa" w:w="3024"/>
          </w:tcPr>
          <w:p>
            <w:pPr>
              <w:jc w:val="center"/>
            </w:pPr>
            <w:r/>
            <w:r>
              <w:rPr>
                <w:rFonts w:ascii="宋体" w:hAnsi="宋体" w:eastAsia="宋体"/>
                <w:sz w:val="21"/>
              </w:rPr>
              <w:t>m⁻¹</w:t>
            </w:r>
          </w:p>
        </w:tc>
      </w:tr>
      <w:tr>
        <w:tc>
          <w:tcPr>
            <w:tcW w:type="dxa" w:w="3024"/>
          </w:tcPr>
          <w:p>
            <w:pPr>
              <w:jc w:val="center"/>
            </w:pPr>
            <w:r/>
            <w:r>
              <w:rPr>
                <w:rFonts w:ascii="宋体" w:hAnsi="宋体" w:eastAsia="宋体"/>
                <w:sz w:val="21"/>
              </w:rPr>
              <w:t>$h_c$</w:t>
            </w:r>
          </w:p>
        </w:tc>
        <w:tc>
          <w:tcPr>
            <w:tcW w:type="dxa" w:w="3024"/>
          </w:tcPr>
          <w:p>
            <w:pPr>
              <w:jc w:val="center"/>
            </w:pPr>
            <w:r/>
            <w:r>
              <w:rPr>
                <w:rFonts w:ascii="宋体" w:hAnsi="宋体" w:eastAsia="宋体"/>
                <w:sz w:val="21"/>
              </w:rPr>
              <w:t>对流换热系数</w:t>
            </w:r>
          </w:p>
        </w:tc>
        <w:tc>
          <w:tcPr>
            <w:tcW w:type="dxa" w:w="3024"/>
          </w:tcPr>
          <w:p>
            <w:pPr>
              <w:jc w:val="center"/>
            </w:pPr>
            <w:r/>
            <w:r>
              <w:rPr>
                <w:rFonts w:ascii="宋体" w:hAnsi="宋体" w:eastAsia="宋体"/>
                <w:sz w:val="21"/>
              </w:rPr>
              <w:t>W/(m²·K)</w:t>
            </w:r>
          </w:p>
        </w:tc>
      </w:tr>
      <w:tr>
        <w:tc>
          <w:tcPr>
            <w:tcW w:type="dxa" w:w="3024"/>
          </w:tcPr>
          <w:p>
            <w:pPr>
              <w:jc w:val="center"/>
            </w:pPr>
            <w:r/>
            <w:r>
              <w:rPr>
                <w:rFonts w:ascii="宋体" w:hAnsi="宋体" w:eastAsia="宋体"/>
                <w:sz w:val="21"/>
              </w:rPr>
              <w:t>$Nu$</w:t>
            </w:r>
          </w:p>
        </w:tc>
        <w:tc>
          <w:tcPr>
            <w:tcW w:type="dxa" w:w="3024"/>
          </w:tcPr>
          <w:p>
            <w:pPr>
              <w:jc w:val="center"/>
            </w:pPr>
            <w:r/>
            <w:r>
              <w:rPr>
                <w:rFonts w:ascii="宋体" w:hAnsi="宋体" w:eastAsia="宋体"/>
                <w:sz w:val="21"/>
              </w:rPr>
              <w:t>努塞尔数（入口段修正）</w:t>
            </w:r>
          </w:p>
        </w:tc>
        <w:tc>
          <w:tcPr>
            <w:tcW w:type="dxa" w:w="3024"/>
          </w:tcPr>
          <w:p>
            <w:pPr>
              <w:jc w:val="center"/>
            </w:pPr>
            <w:r/>
            <w:r>
              <w:rPr>
                <w:rFonts w:ascii="宋体" w:hAnsi="宋体" w:eastAsia="宋体"/>
                <w:sz w:val="21"/>
              </w:rPr>
              <w:t>—</w:t>
            </w:r>
          </w:p>
        </w:tc>
      </w:tr>
      <w:tr>
        <w:tc>
          <w:tcPr>
            <w:tcW w:type="dxa" w:w="3024"/>
          </w:tcPr>
          <w:p>
            <w:pPr>
              <w:jc w:val="center"/>
            </w:pPr>
            <w:r/>
            <w:r>
              <w:rPr>
                <w:rFonts w:ascii="宋体" w:hAnsi="宋体" w:eastAsia="宋体"/>
                <w:sz w:val="21"/>
              </w:rPr>
              <w:t>$Gz$</w:t>
            </w:r>
          </w:p>
        </w:tc>
        <w:tc>
          <w:tcPr>
            <w:tcW w:type="dxa" w:w="3024"/>
          </w:tcPr>
          <w:p>
            <w:pPr>
              <w:jc w:val="center"/>
            </w:pPr>
            <w:r/>
            <w:r>
              <w:rPr>
                <w:rFonts w:ascii="宋体" w:hAnsi="宋体" w:eastAsia="宋体"/>
                <w:sz w:val="21"/>
              </w:rPr>
              <w:t>Graetz数</w:t>
            </w:r>
          </w:p>
        </w:tc>
        <w:tc>
          <w:tcPr>
            <w:tcW w:type="dxa" w:w="3024"/>
          </w:tcPr>
          <w:p>
            <w:pPr>
              <w:jc w:val="center"/>
            </w:pPr>
            <w:r/>
            <w:r>
              <w:rPr>
                <w:rFonts w:ascii="宋体" w:hAnsi="宋体" w:eastAsia="宋体"/>
                <w:sz w:val="21"/>
              </w:rPr>
              <w:t>—</w:t>
            </w:r>
          </w:p>
        </w:tc>
      </w:tr>
      <w:tr>
        <w:tc>
          <w:tcPr>
            <w:tcW w:type="dxa" w:w="3024"/>
          </w:tcPr>
          <w:p>
            <w:pPr>
              <w:jc w:val="center"/>
            </w:pPr>
            <w:r/>
            <w:r>
              <w:rPr>
                <w:rFonts w:ascii="宋体" w:hAnsi="宋体" w:eastAsia="宋体"/>
                <w:sz w:val="21"/>
              </w:rPr>
              <w:t>$Re,Pr$</w:t>
            </w:r>
          </w:p>
        </w:tc>
        <w:tc>
          <w:tcPr>
            <w:tcW w:type="dxa" w:w="3024"/>
          </w:tcPr>
          <w:p>
            <w:pPr>
              <w:jc w:val="center"/>
            </w:pPr>
            <w:r/>
            <w:r>
              <w:rPr>
                <w:rFonts w:ascii="宋体" w:hAnsi="宋体" w:eastAsia="宋体"/>
                <w:sz w:val="21"/>
              </w:rPr>
              <w:t>雷诺数、普朗特数</w:t>
            </w:r>
          </w:p>
        </w:tc>
        <w:tc>
          <w:tcPr>
            <w:tcW w:type="dxa" w:w="3024"/>
          </w:tcPr>
          <w:p>
            <w:pPr>
              <w:jc w:val="center"/>
            </w:pPr>
            <w:r/>
            <w:r>
              <w:rPr>
                <w:rFonts w:ascii="宋体" w:hAnsi="宋体" w:eastAsia="宋体"/>
                <w:sz w:val="21"/>
              </w:rPr>
              <w:t>—</w:t>
            </w:r>
          </w:p>
        </w:tc>
      </w:tr>
      <w:tr>
        <w:tc>
          <w:tcPr>
            <w:tcW w:type="dxa" w:w="3024"/>
          </w:tcPr>
          <w:p>
            <w:pPr>
              <w:jc w:val="center"/>
            </w:pPr>
            <w:r/>
            <w:r>
              <w:rPr>
                <w:rFonts w:ascii="宋体" w:hAnsi="宋体" w:eastAsia="宋体"/>
                <w:sz w:val="21"/>
              </w:rPr>
              <w:t>$D_h$</w:t>
            </w:r>
          </w:p>
        </w:tc>
        <w:tc>
          <w:tcPr>
            <w:tcW w:type="dxa" w:w="3024"/>
          </w:tcPr>
          <w:p>
            <w:pPr>
              <w:jc w:val="center"/>
            </w:pPr>
            <w:r/>
            <w:r>
              <w:rPr>
                <w:rFonts w:ascii="宋体" w:hAnsi="宋体" w:eastAsia="宋体"/>
                <w:sz w:val="21"/>
              </w:rPr>
              <w:t>水力直径</w:t>
            </w:r>
          </w:p>
        </w:tc>
        <w:tc>
          <w:tcPr>
            <w:tcW w:type="dxa" w:w="3024"/>
          </w:tcPr>
          <w:p>
            <w:pPr>
              <w:jc w:val="center"/>
            </w:pPr>
            <w:r/>
            <w:r>
              <w:rPr>
                <w:rFonts w:ascii="宋体" w:hAnsi="宋体" w:eastAsia="宋体"/>
                <w:sz w:val="21"/>
              </w:rPr>
              <w:t>m</w:t>
            </w:r>
          </w:p>
        </w:tc>
      </w:tr>
      <w:tr>
        <w:tc>
          <w:tcPr>
            <w:tcW w:type="dxa" w:w="3024"/>
          </w:tcPr>
          <w:p>
            <w:pPr>
              <w:jc w:val="center"/>
            </w:pPr>
            <w:r/>
            <w:r>
              <w:rPr>
                <w:rFonts w:ascii="宋体" w:hAnsi="宋体" w:eastAsia="宋体"/>
                <w:sz w:val="21"/>
              </w:rPr>
              <w:t>$f,\zeta$</w:t>
            </w:r>
          </w:p>
        </w:tc>
        <w:tc>
          <w:tcPr>
            <w:tcW w:type="dxa" w:w="3024"/>
          </w:tcPr>
          <w:p>
            <w:pPr>
              <w:jc w:val="center"/>
            </w:pPr>
            <w:r/>
            <w:r>
              <w:rPr>
                <w:rFonts w:ascii="宋体" w:hAnsi="宋体" w:eastAsia="宋体"/>
                <w:sz w:val="21"/>
              </w:rPr>
              <w:t>摩擦系数、歧管局部损失系数</w:t>
            </w:r>
          </w:p>
        </w:tc>
        <w:tc>
          <w:tcPr>
            <w:tcW w:type="dxa" w:w="3024"/>
          </w:tcPr>
          <w:p>
            <w:pPr>
              <w:jc w:val="center"/>
            </w:pPr>
            <w:r/>
            <w:r>
              <w:rPr>
                <w:rFonts w:ascii="宋体" w:hAnsi="宋体" w:eastAsia="宋体"/>
                <w:sz w:val="21"/>
              </w:rPr>
              <w:t>—</w:t>
            </w:r>
          </w:p>
        </w:tc>
      </w:tr>
      <w:tr>
        <w:tc>
          <w:tcPr>
            <w:tcW w:type="dxa" w:w="3024"/>
          </w:tcPr>
          <w:p>
            <w:pPr>
              <w:jc w:val="center"/>
            </w:pPr>
            <w:r/>
            <w:r>
              <w:rPr>
                <w:rFonts w:ascii="宋体" w:hAnsi="宋体" w:eastAsia="宋体"/>
                <w:sz w:val="21"/>
              </w:rPr>
              <w:t>$C_D$</w:t>
            </w:r>
          </w:p>
        </w:tc>
        <w:tc>
          <w:tcPr>
            <w:tcW w:type="dxa" w:w="3024"/>
          </w:tcPr>
          <w:p>
            <w:pPr>
              <w:jc w:val="center"/>
            </w:pPr>
            <w:r/>
            <w:r>
              <w:rPr>
                <w:rFonts w:ascii="宋体" w:hAnsi="宋体" w:eastAsia="宋体"/>
                <w:sz w:val="21"/>
              </w:rPr>
              <w:t>针肋绕流阻力系数</w:t>
            </w:r>
          </w:p>
        </w:tc>
        <w:tc>
          <w:tcPr>
            <w:tcW w:type="dxa" w:w="3024"/>
          </w:tcPr>
          <w:p>
            <w:pPr>
              <w:jc w:val="center"/>
            </w:pPr>
            <w:r/>
            <w:r>
              <w:rPr>
                <w:rFonts w:ascii="宋体" w:hAnsi="宋体" w:eastAsia="宋体"/>
                <w:sz w:val="21"/>
              </w:rPr>
              <w:t>—</w:t>
            </w:r>
          </w:p>
        </w:tc>
      </w:tr>
      <w:tr>
        <w:tc>
          <w:tcPr>
            <w:tcW w:type="dxa" w:w="3024"/>
          </w:tcPr>
          <w:p>
            <w:pPr>
              <w:jc w:val="center"/>
            </w:pPr>
            <w:r/>
            <w:r>
              <w:rPr>
                <w:rFonts w:ascii="宋体" w:hAnsi="宋体" w:eastAsia="宋体"/>
                <w:sz w:val="21"/>
              </w:rPr>
              <w:t>$\rho,\mu,c_p$</w:t>
            </w:r>
          </w:p>
        </w:tc>
        <w:tc>
          <w:tcPr>
            <w:tcW w:type="dxa" w:w="3024"/>
          </w:tcPr>
          <w:p>
            <w:pPr>
              <w:jc w:val="center"/>
            </w:pPr>
            <w:r/>
            <w:r>
              <w:rPr>
                <w:rFonts w:ascii="宋体" w:hAnsi="宋体" w:eastAsia="宋体"/>
                <w:sz w:val="21"/>
              </w:rPr>
              <w:t>冷却液密度、动力黏度、比热容</w:t>
            </w:r>
          </w:p>
        </w:tc>
        <w:tc>
          <w:tcPr>
            <w:tcW w:type="dxa" w:w="3024"/>
          </w:tcPr>
          <w:p>
            <w:pPr>
              <w:jc w:val="center"/>
            </w:pPr>
            <w:r/>
            <w:r>
              <w:rPr>
                <w:rFonts w:ascii="宋体" w:hAnsi="宋体" w:eastAsia="宋体"/>
                <w:sz w:val="21"/>
              </w:rPr>
              <w:t>kg/m³、Pa·s、J/(kg·K)</w:t>
            </w:r>
          </w:p>
        </w:tc>
      </w:tr>
      <w:tr>
        <w:tc>
          <w:tcPr>
            <w:tcW w:type="dxa" w:w="3024"/>
          </w:tcPr>
          <w:p>
            <w:pPr>
              <w:jc w:val="center"/>
            </w:pPr>
            <w:r/>
            <w:r>
              <w:rPr>
                <w:rFonts w:ascii="宋体" w:hAnsi="宋体" w:eastAsia="宋体"/>
                <w:sz w:val="21"/>
              </w:rPr>
              <w:t>$k_w,k_{AlN},k_{pin}$</w:t>
            </w:r>
          </w:p>
        </w:tc>
        <w:tc>
          <w:tcPr>
            <w:tcW w:type="dxa" w:w="3024"/>
          </w:tcPr>
          <w:p>
            <w:pPr>
              <w:jc w:val="center"/>
            </w:pPr>
            <w:r/>
            <w:r>
              <w:rPr>
                <w:rFonts w:ascii="宋体" w:hAnsi="宋体" w:eastAsia="宋体"/>
                <w:sz w:val="21"/>
              </w:rPr>
              <w:t>水/氮化铝/针肋导热系数</w:t>
            </w:r>
          </w:p>
        </w:tc>
        <w:tc>
          <w:tcPr>
            <w:tcW w:type="dxa" w:w="3024"/>
          </w:tcPr>
          <w:p>
            <w:pPr>
              <w:jc w:val="center"/>
            </w:pPr>
            <w:r/>
            <w:r>
              <w:rPr>
                <w:rFonts w:ascii="宋体" w:hAnsi="宋体" w:eastAsia="宋体"/>
                <w:sz w:val="21"/>
              </w:rPr>
              <w:t>W/(m·K)</w:t>
            </w:r>
          </w:p>
        </w:tc>
      </w:tr>
      <w:tr>
        <w:tc>
          <w:tcPr>
            <w:tcW w:type="dxa" w:w="3024"/>
          </w:tcPr>
          <w:p>
            <w:pPr>
              <w:jc w:val="center"/>
            </w:pPr>
            <w:r/>
            <w:r>
              <w:rPr>
                <w:rFonts w:ascii="宋体" w:hAnsi="宋体" w:eastAsia="宋体"/>
                <w:sz w:val="21"/>
              </w:rPr>
              <w:t>$\dot m$</w:t>
            </w:r>
          </w:p>
        </w:tc>
        <w:tc>
          <w:tcPr>
            <w:tcW w:type="dxa" w:w="3024"/>
          </w:tcPr>
          <w:p>
            <w:pPr>
              <w:jc w:val="center"/>
            </w:pPr>
            <w:r/>
            <w:r>
              <w:rPr>
                <w:rFonts w:ascii="宋体" w:hAnsi="宋体" w:eastAsia="宋体"/>
                <w:sz w:val="21"/>
              </w:rPr>
              <w:t>冷却液质量流量（1 g/s）</w:t>
            </w:r>
          </w:p>
        </w:tc>
        <w:tc>
          <w:tcPr>
            <w:tcW w:type="dxa" w:w="3024"/>
          </w:tcPr>
          <w:p>
            <w:pPr>
              <w:jc w:val="center"/>
            </w:pPr>
            <w:r/>
            <w:r>
              <w:rPr>
                <w:rFonts w:ascii="宋体" w:hAnsi="宋体" w:eastAsia="宋体"/>
                <w:sz w:val="21"/>
              </w:rPr>
              <w:t>g/s</w:t>
            </w:r>
          </w:p>
        </w:tc>
      </w:tr>
      <w:tr>
        <w:tc>
          <w:tcPr>
            <w:tcW w:type="dxa" w:w="3024"/>
          </w:tcPr>
          <w:p>
            <w:pPr>
              <w:jc w:val="center"/>
            </w:pPr>
            <w:r/>
            <w:r>
              <w:rPr>
                <w:rFonts w:ascii="宋体" w:hAnsi="宋体" w:eastAsia="宋体"/>
                <w:sz w:val="21"/>
              </w:rPr>
              <w:t>$T_{in}$</w:t>
            </w:r>
          </w:p>
        </w:tc>
        <w:tc>
          <w:tcPr>
            <w:tcW w:type="dxa" w:w="3024"/>
          </w:tcPr>
          <w:p>
            <w:pPr>
              <w:jc w:val="center"/>
            </w:pPr>
            <w:r/>
            <w:r>
              <w:rPr>
                <w:rFonts w:ascii="宋体" w:hAnsi="宋体" w:eastAsia="宋体"/>
                <w:sz w:val="21"/>
              </w:rPr>
              <w:t>入口温度（293 K）</w:t>
            </w:r>
          </w:p>
        </w:tc>
        <w:tc>
          <w:tcPr>
            <w:tcW w:type="dxa" w:w="3024"/>
          </w:tcPr>
          <w:p>
            <w:pPr>
              <w:jc w:val="center"/>
            </w:pPr>
            <w:r/>
            <w:r>
              <w:rPr>
                <w:rFonts w:ascii="宋体" w:hAnsi="宋体" w:eastAsia="宋体"/>
                <w:sz w:val="21"/>
              </w:rPr>
              <w:t>K</w:t>
            </w:r>
          </w:p>
        </w:tc>
      </w:tr>
      <w:tr>
        <w:tc>
          <w:tcPr>
            <w:tcW w:type="dxa" w:w="3024"/>
          </w:tcPr>
          <w:p>
            <w:pPr>
              <w:jc w:val="center"/>
            </w:pPr>
            <w:r/>
            <w:r>
              <w:rPr>
                <w:rFonts w:ascii="宋体" w:hAnsi="宋体" w:eastAsia="宋体"/>
                <w:sz w:val="21"/>
              </w:rPr>
              <w:t>$q_v$</w:t>
            </w:r>
          </w:p>
        </w:tc>
        <w:tc>
          <w:tcPr>
            <w:tcW w:type="dxa" w:w="3024"/>
          </w:tcPr>
          <w:p>
            <w:pPr>
              <w:jc w:val="center"/>
            </w:pPr>
            <w:r/>
            <w:r>
              <w:rPr>
                <w:rFonts w:ascii="宋体" w:hAnsi="宋体" w:eastAsia="宋体"/>
                <w:sz w:val="21"/>
              </w:rPr>
              <w:t>芯片体热源强度（5×10⁹ W/m³）</w:t>
            </w:r>
          </w:p>
        </w:tc>
        <w:tc>
          <w:tcPr>
            <w:tcW w:type="dxa" w:w="3024"/>
          </w:tcPr>
          <w:p>
            <w:pPr>
              <w:jc w:val="center"/>
            </w:pPr>
            <w:r/>
            <w:r>
              <w:rPr>
                <w:rFonts w:ascii="宋体" w:hAnsi="宋体" w:eastAsia="宋体"/>
                <w:sz w:val="21"/>
              </w:rPr>
              <w:t>W/m³</w:t>
            </w:r>
          </w:p>
        </w:tc>
      </w:tr>
      <w:tr>
        <w:tc>
          <w:tcPr>
            <w:tcW w:type="dxa" w:w="3024"/>
          </w:tcPr>
          <w:p>
            <w:pPr>
              <w:jc w:val="center"/>
            </w:pPr>
            <w:r/>
            <w:r>
              <w:rPr>
                <w:rFonts w:ascii="宋体" w:hAnsi="宋体" w:eastAsia="宋体"/>
                <w:sz w:val="21"/>
              </w:rPr>
              <w:t>$c_1,c_2$</w:t>
            </w:r>
          </w:p>
        </w:tc>
        <w:tc>
          <w:tcPr>
            <w:tcW w:type="dxa" w:w="3024"/>
          </w:tcPr>
          <w:p>
            <w:pPr>
              <w:jc w:val="center"/>
            </w:pPr>
            <w:r/>
            <w:r>
              <w:rPr>
                <w:rFonts w:ascii="宋体" w:hAnsi="宋体" w:eastAsia="宋体"/>
                <w:sz w:val="21"/>
              </w:rPr>
              <w:t>针肋扰动增强系数（线性/饱和项）</w:t>
            </w:r>
          </w:p>
        </w:tc>
        <w:tc>
          <w:tcPr>
            <w:tcW w:type="dxa" w:w="3024"/>
          </w:tcPr>
          <w:p>
            <w:pPr>
              <w:jc w:val="center"/>
            </w:pPr>
            <w:r/>
            <w:r>
              <w:rPr>
                <w:rFonts w:ascii="宋体" w:hAnsi="宋体" w:eastAsia="宋体"/>
                <w:sz w:val="21"/>
              </w:rPr>
              <w:t>—</w:t>
            </w:r>
          </w:p>
        </w:tc>
      </w:tr>
      <w:tr>
        <w:tc>
          <w:tcPr>
            <w:tcW w:type="dxa" w:w="3024"/>
          </w:tcPr>
          <w:p>
            <w:pPr>
              <w:jc w:val="center"/>
            </w:pPr>
            <w:r/>
            <w:r>
              <w:rPr>
                <w:rFonts w:ascii="宋体" w:hAnsi="宋体" w:eastAsia="宋体"/>
                <w:sz w:val="21"/>
              </w:rPr>
              <w:t>$L_{therm}$</w:t>
            </w:r>
          </w:p>
        </w:tc>
        <w:tc>
          <w:tcPr>
            <w:tcW w:type="dxa" w:w="3024"/>
          </w:tcPr>
          <w:p>
            <w:pPr>
              <w:jc w:val="center"/>
            </w:pPr>
            <w:r/>
            <w:r>
              <w:rPr>
                <w:rFonts w:ascii="宋体" w:hAnsi="宋体" w:eastAsia="宋体"/>
                <w:sz w:val="21"/>
              </w:rPr>
              <w:t>热发展长度占通道长度比例</w:t>
            </w:r>
          </w:p>
        </w:tc>
        <w:tc>
          <w:tcPr>
            <w:tcW w:type="dxa" w:w="3024"/>
          </w:tcPr>
          <w:p>
            <w:pPr>
              <w:jc w:val="center"/>
            </w:pPr>
            <w:r/>
            <w:r>
              <w:rPr>
                <w:rFonts w:ascii="宋体" w:hAnsi="宋体" w:eastAsia="宋体"/>
                <w:sz w:val="21"/>
              </w:rPr>
              <w:t>—</w:t>
            </w:r>
          </w:p>
        </w:tc>
      </w:tr>
      <w:tr>
        <w:tc>
          <w:tcPr>
            <w:tcW w:type="dxa" w:w="3024"/>
          </w:tcPr>
          <w:p>
            <w:pPr>
              <w:jc w:val="center"/>
            </w:pPr>
            <w:r/>
            <w:r>
              <w:rPr>
                <w:rFonts w:ascii="宋体" w:hAnsi="宋体" w:eastAsia="宋体"/>
                <w:sz w:val="21"/>
              </w:rPr>
              <w:t>$c_{dz},g_r,g_n$</w:t>
            </w:r>
          </w:p>
        </w:tc>
        <w:tc>
          <w:tcPr>
            <w:tcW w:type="dxa" w:w="3024"/>
          </w:tcPr>
          <w:p>
            <w:pPr>
              <w:jc w:val="center"/>
            </w:pPr>
            <w:r/>
            <w:r>
              <w:rPr>
                <w:rFonts w:ascii="宋体" w:hAnsi="宋体" w:eastAsia="宋体"/>
                <w:sz w:val="21"/>
              </w:rPr>
              <w:t>死区热点系数与$r$、$n$指数</w:t>
            </w:r>
          </w:p>
        </w:tc>
        <w:tc>
          <w:tcPr>
            <w:tcW w:type="dxa" w:w="3024"/>
          </w:tcPr>
          <w:p>
            <w:pPr>
              <w:jc w:val="center"/>
            </w:pPr>
            <w:r/>
            <w:r>
              <w:rPr>
                <w:rFonts w:ascii="宋体" w:hAnsi="宋体" w:eastAsia="宋体"/>
                <w:sz w:val="21"/>
              </w:rPr>
              <w:t>—</w:t>
            </w:r>
          </w:p>
        </w:tc>
      </w:tr>
      <w:tr>
        <w:tc>
          <w:tcPr>
            <w:tcW w:type="dxa" w:w="3024"/>
          </w:tcPr>
          <w:p>
            <w:pPr>
              <w:jc w:val="center"/>
            </w:pPr>
            <w:r/>
            <w:r>
              <w:rPr>
                <w:rFonts w:ascii="宋体" w:hAnsi="宋体" w:eastAsia="宋体"/>
                <w:sz w:val="21"/>
              </w:rPr>
              <w:t>$r_{thr},n_{thr}$</w:t>
            </w:r>
          </w:p>
        </w:tc>
        <w:tc>
          <w:tcPr>
            <w:tcW w:type="dxa" w:w="3024"/>
          </w:tcPr>
          <w:p>
            <w:pPr>
              <w:jc w:val="center"/>
            </w:pPr>
            <w:r/>
            <w:r>
              <w:rPr>
                <w:rFonts w:ascii="宋体" w:hAnsi="宋体" w:eastAsia="宋体"/>
                <w:sz w:val="21"/>
              </w:rPr>
              <w:t>死区热点$r$、$n$阈值</w:t>
            </w:r>
          </w:p>
        </w:tc>
        <w:tc>
          <w:tcPr>
            <w:tcW w:type="dxa" w:w="3024"/>
          </w:tcPr>
          <w:p>
            <w:pPr>
              <w:jc w:val="center"/>
            </w:pPr>
            <w:r/>
            <w:r>
              <w:rPr>
                <w:rFonts w:ascii="宋体" w:hAnsi="宋体" w:eastAsia="宋体"/>
                <w:sz w:val="21"/>
              </w:rPr>
              <w:t>—</w:t>
            </w:r>
          </w:p>
        </w:tc>
      </w:tr>
      <w:tr>
        <w:tc>
          <w:tcPr>
            <w:tcW w:type="dxa" w:w="3024"/>
          </w:tcPr>
          <w:p>
            <w:pPr>
              <w:jc w:val="center"/>
            </w:pPr>
            <w:r/>
            <w:r>
              <w:rPr>
                <w:rFonts w:ascii="宋体" w:hAnsi="宋体" w:eastAsia="宋体"/>
                <w:sz w:val="21"/>
              </w:rPr>
              <w:t>$c_{manh}$</w:t>
            </w:r>
          </w:p>
        </w:tc>
        <w:tc>
          <w:tcPr>
            <w:tcW w:type="dxa" w:w="3024"/>
          </w:tcPr>
          <w:p>
            <w:pPr>
              <w:jc w:val="center"/>
            </w:pPr>
            <w:r/>
            <w:r>
              <w:rPr>
                <w:rFonts w:ascii="宋体" w:hAnsi="宋体" w:eastAsia="宋体"/>
                <w:sz w:val="21"/>
              </w:rPr>
              <w:t>歧管加深传导热路径系数</w:t>
            </w:r>
          </w:p>
        </w:tc>
        <w:tc>
          <w:tcPr>
            <w:tcW w:type="dxa" w:w="3024"/>
          </w:tcPr>
          <w:p>
            <w:pPr>
              <w:jc w:val="center"/>
            </w:pPr>
            <w:r/>
            <w:r>
              <w:rPr>
                <w:rFonts w:ascii="宋体" w:hAnsi="宋体" w:eastAsia="宋体"/>
                <w:sz w:val="21"/>
              </w:rPr>
              <w:t>—</w:t>
            </w:r>
          </w:p>
        </w:tc>
      </w:tr>
    </w:tbl>
    <w:p>
      <w:pPr>
        <w:spacing w:after="120" w:line="360" w:lineRule="auto"/>
        <w:ind w:firstLine="420"/>
      </w:pPr>
      <w:r>
        <w:rPr>
          <w:rFonts w:ascii="宋体" w:hAnsi="宋体" w:eastAsia="宋体"/>
          <w:b/>
          <w:sz w:val="24"/>
        </w:rPr>
        <w:t>表4-3 代理、优化与检验方法符号</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3024"/>
        <w:gridCol w:w="3024"/>
        <w:gridCol w:w="3024"/>
      </w:tblGrid>
      <w:tr>
        <w:tc>
          <w:tcPr>
            <w:tcW w:type="dxa" w:w="3024"/>
            <w:tcBorders>
              <w:bottom w:val="single" w:sz="6" w:color="000000"/>
            </w:tcBorders>
          </w:tcPr>
          <w:p>
            <w:pPr>
              <w:jc w:val="center"/>
            </w:pPr>
            <w:r/>
            <w:r>
              <w:rPr>
                <w:rFonts w:ascii="宋体" w:hAnsi="宋体" w:eastAsia="宋体"/>
                <w:b/>
                <w:sz w:val="21"/>
              </w:rPr>
              <w:t>符号</w:t>
            </w:r>
          </w:p>
        </w:tc>
        <w:tc>
          <w:tcPr>
            <w:tcW w:type="dxa" w:w="3024"/>
            <w:tcBorders>
              <w:bottom w:val="single" w:sz="6" w:color="000000"/>
            </w:tcBorders>
          </w:tcPr>
          <w:p>
            <w:pPr>
              <w:jc w:val="center"/>
            </w:pPr>
            <w:r/>
            <w:r>
              <w:rPr>
                <w:rFonts w:ascii="宋体" w:hAnsi="宋体" w:eastAsia="宋体"/>
                <w:b/>
                <w:sz w:val="21"/>
              </w:rPr>
              <w:t>含义</w:t>
            </w:r>
          </w:p>
        </w:tc>
        <w:tc>
          <w:tcPr>
            <w:tcW w:type="dxa" w:w="3024"/>
            <w:tcBorders>
              <w:bottom w:val="single" w:sz="6" w:color="000000"/>
            </w:tcBorders>
          </w:tcPr>
          <w:p>
            <w:pPr>
              <w:jc w:val="center"/>
            </w:pPr>
            <w:r/>
            <w:r>
              <w:rPr>
                <w:rFonts w:ascii="宋体" w:hAnsi="宋体" w:eastAsia="宋体"/>
                <w:b/>
                <w:sz w:val="21"/>
              </w:rPr>
              <w:t>单位</w:t>
            </w:r>
          </w:p>
        </w:tc>
      </w:tr>
      <w:tr>
        <w:tc>
          <w:tcPr>
            <w:tcW w:type="dxa" w:w="3024"/>
          </w:tcPr>
          <w:p>
            <w:pPr>
              <w:jc w:val="center"/>
            </w:pPr>
            <w:r/>
            <w:r>
              <w:rPr>
                <w:rFonts w:ascii="宋体" w:hAnsi="宋体" w:eastAsia="宋体"/>
                <w:sz w:val="21"/>
              </w:rPr>
              <w:t>$k(\mathbf{x},\mathbf{x}')$</w:t>
            </w:r>
          </w:p>
        </w:tc>
        <w:tc>
          <w:tcPr>
            <w:tcW w:type="dxa" w:w="3024"/>
          </w:tcPr>
          <w:p>
            <w:pPr>
              <w:jc w:val="center"/>
            </w:pPr>
            <w:r/>
            <w:r>
              <w:rPr>
                <w:rFonts w:ascii="宋体" w:hAnsi="宋体" w:eastAsia="宋体"/>
                <w:sz w:val="21"/>
              </w:rPr>
              <w:t>GPR协方差函数</w:t>
            </w:r>
          </w:p>
        </w:tc>
        <w:tc>
          <w:tcPr>
            <w:tcW w:type="dxa" w:w="3024"/>
          </w:tcPr>
          <w:p>
            <w:pPr>
              <w:jc w:val="center"/>
            </w:pPr>
            <w:r/>
            <w:r>
              <w:rPr>
                <w:rFonts w:ascii="宋体" w:hAnsi="宋体" w:eastAsia="宋体"/>
                <w:sz w:val="21"/>
              </w:rPr>
              <w:t>—</w:t>
            </w:r>
          </w:p>
        </w:tc>
      </w:tr>
      <w:tr>
        <w:tc>
          <w:tcPr>
            <w:tcW w:type="dxa" w:w="3024"/>
          </w:tcPr>
          <w:p>
            <w:pPr>
              <w:jc w:val="center"/>
            </w:pPr>
            <w:r/>
            <w:r>
              <w:rPr>
                <w:rFonts w:ascii="宋体" w:hAnsi="宋体" w:eastAsia="宋体"/>
                <w:sz w:val="21"/>
              </w:rPr>
              <w:t>$\sigma_f^2,\sigma_n^2$</w:t>
            </w:r>
          </w:p>
        </w:tc>
        <w:tc>
          <w:tcPr>
            <w:tcW w:type="dxa" w:w="3024"/>
          </w:tcPr>
          <w:p>
            <w:pPr>
              <w:jc w:val="center"/>
            </w:pPr>
            <w:r/>
            <w:r>
              <w:rPr>
                <w:rFonts w:ascii="宋体" w:hAnsi="宋体" w:eastAsia="宋体"/>
                <w:sz w:val="21"/>
              </w:rPr>
              <w:t>GPR信号方差、噪声方差</w:t>
            </w:r>
          </w:p>
        </w:tc>
        <w:tc>
          <w:tcPr>
            <w:tcW w:type="dxa" w:w="3024"/>
          </w:tcPr>
          <w:p>
            <w:pPr>
              <w:jc w:val="center"/>
            </w:pPr>
            <w:r/>
            <w:r>
              <w:rPr>
                <w:rFonts w:ascii="宋体" w:hAnsi="宋体" w:eastAsia="宋体"/>
                <w:sz w:val="21"/>
              </w:rPr>
              <w:t>—</w:t>
            </w:r>
          </w:p>
        </w:tc>
      </w:tr>
      <w:tr>
        <w:tc>
          <w:tcPr>
            <w:tcW w:type="dxa" w:w="3024"/>
          </w:tcPr>
          <w:p>
            <w:pPr>
              <w:jc w:val="center"/>
            </w:pPr>
            <w:r/>
            <w:r>
              <w:rPr>
                <w:rFonts w:ascii="宋体" w:hAnsi="宋体" w:eastAsia="宋体"/>
                <w:sz w:val="21"/>
              </w:rPr>
              <w:t>$l_d$</w:t>
            </w:r>
          </w:p>
        </w:tc>
        <w:tc>
          <w:tcPr>
            <w:tcW w:type="dxa" w:w="3024"/>
          </w:tcPr>
          <w:p>
            <w:pPr>
              <w:jc w:val="center"/>
            </w:pPr>
            <w:r/>
            <w:r>
              <w:rPr>
                <w:rFonts w:ascii="宋体" w:hAnsi="宋体" w:eastAsia="宋体"/>
                <w:sz w:val="21"/>
              </w:rPr>
              <w:t>Matérn核第$d$维特征长度尺度</w:t>
            </w:r>
          </w:p>
        </w:tc>
        <w:tc>
          <w:tcPr>
            <w:tcW w:type="dxa" w:w="3024"/>
          </w:tcPr>
          <w:p>
            <w:pPr>
              <w:jc w:val="center"/>
            </w:pPr>
            <w:r/>
            <w:r>
              <w:rPr>
                <w:rFonts w:ascii="宋体" w:hAnsi="宋体" w:eastAsia="宋体"/>
                <w:sz w:val="21"/>
              </w:rPr>
              <w:t>—</w:t>
            </w:r>
          </w:p>
        </w:tc>
      </w:tr>
      <w:tr>
        <w:tc>
          <w:tcPr>
            <w:tcW w:type="dxa" w:w="3024"/>
          </w:tcPr>
          <w:p>
            <w:pPr>
              <w:jc w:val="center"/>
            </w:pPr>
            <w:r/>
            <w:r>
              <w:rPr>
                <w:rFonts w:ascii="宋体" w:hAnsi="宋体" w:eastAsia="宋体"/>
                <w:sz w:val="21"/>
              </w:rPr>
              <w:t>$K,\mathbf{k}_*$</w:t>
            </w:r>
          </w:p>
        </w:tc>
        <w:tc>
          <w:tcPr>
            <w:tcW w:type="dxa" w:w="3024"/>
          </w:tcPr>
          <w:p>
            <w:pPr>
              <w:jc w:val="center"/>
            </w:pPr>
            <w:r/>
            <w:r>
              <w:rPr>
                <w:rFonts w:ascii="宋体" w:hAnsi="宋体" w:eastAsia="宋体"/>
                <w:sz w:val="21"/>
              </w:rPr>
              <w:t>训练协方差矩阵、预测协方差向量</w:t>
            </w:r>
          </w:p>
        </w:tc>
        <w:tc>
          <w:tcPr>
            <w:tcW w:type="dxa" w:w="3024"/>
          </w:tcPr>
          <w:p>
            <w:pPr>
              <w:jc w:val="center"/>
            </w:pPr>
            <w:r/>
            <w:r>
              <w:rPr>
                <w:rFonts w:ascii="宋体" w:hAnsi="宋体" w:eastAsia="宋体"/>
                <w:sz w:val="21"/>
              </w:rPr>
              <w:t>—</w:t>
            </w:r>
          </w:p>
        </w:tc>
      </w:tr>
      <w:tr>
        <w:tc>
          <w:tcPr>
            <w:tcW w:type="dxa" w:w="3024"/>
          </w:tcPr>
          <w:p>
            <w:pPr>
              <w:jc w:val="center"/>
            </w:pPr>
            <w:r/>
            <w:r>
              <w:rPr>
                <w:rFonts w:ascii="宋体" w:hAnsi="宋体" w:eastAsia="宋体"/>
                <w:sz w:val="21"/>
              </w:rPr>
              <w:t>$\mu_*,\sigma_*^2$</w:t>
            </w:r>
          </w:p>
        </w:tc>
        <w:tc>
          <w:tcPr>
            <w:tcW w:type="dxa" w:w="3024"/>
          </w:tcPr>
          <w:p>
            <w:pPr>
              <w:jc w:val="center"/>
            </w:pPr>
            <w:r/>
            <w:r>
              <w:rPr>
                <w:rFonts w:ascii="宋体" w:hAnsi="宋体" w:eastAsia="宋体"/>
                <w:sz w:val="21"/>
              </w:rPr>
              <w:t>GPR预测均值、预测方差</w:t>
            </w:r>
          </w:p>
        </w:tc>
        <w:tc>
          <w:tcPr>
            <w:tcW w:type="dxa" w:w="3024"/>
          </w:tcPr>
          <w:p>
            <w:pPr>
              <w:jc w:val="center"/>
            </w:pPr>
            <w:r/>
            <w:r>
              <w:rPr>
                <w:rFonts w:ascii="宋体" w:hAnsi="宋体" w:eastAsia="宋体"/>
                <w:sz w:val="21"/>
              </w:rPr>
              <w:t>—</w:t>
            </w:r>
          </w:p>
        </w:tc>
      </w:tr>
      <w:tr>
        <w:tc>
          <w:tcPr>
            <w:tcW w:type="dxa" w:w="3024"/>
          </w:tcPr>
          <w:p>
            <w:pPr>
              <w:jc w:val="center"/>
            </w:pPr>
            <w:r/>
            <w:r>
              <w:rPr>
                <w:rFonts w:ascii="宋体" w:hAnsi="宋体" w:eastAsia="宋体"/>
                <w:sz w:val="21"/>
              </w:rPr>
              <w:t>$N_{pop},N_{gen}$</w:t>
            </w:r>
          </w:p>
        </w:tc>
        <w:tc>
          <w:tcPr>
            <w:tcW w:type="dxa" w:w="3024"/>
          </w:tcPr>
          <w:p>
            <w:pPr>
              <w:jc w:val="center"/>
            </w:pPr>
            <w:r/>
            <w:r>
              <w:rPr>
                <w:rFonts w:ascii="宋体" w:hAnsi="宋体" w:eastAsia="宋体"/>
                <w:sz w:val="21"/>
              </w:rPr>
              <w:t>NSGA-II种群规模、迭代代数</w:t>
            </w:r>
          </w:p>
        </w:tc>
        <w:tc>
          <w:tcPr>
            <w:tcW w:type="dxa" w:w="3024"/>
          </w:tcPr>
          <w:p>
            <w:pPr>
              <w:jc w:val="center"/>
            </w:pPr>
            <w:r/>
            <w:r>
              <w:rPr>
                <w:rFonts w:ascii="宋体" w:hAnsi="宋体" w:eastAsia="宋体"/>
                <w:sz w:val="21"/>
              </w:rPr>
              <w:t>—</w:t>
            </w:r>
          </w:p>
        </w:tc>
      </w:tr>
      <w:tr>
        <w:tc>
          <w:tcPr>
            <w:tcW w:type="dxa" w:w="3024"/>
          </w:tcPr>
          <w:p>
            <w:pPr>
              <w:jc w:val="center"/>
            </w:pPr>
            <w:r/>
            <w:r>
              <w:rPr>
                <w:rFonts w:ascii="宋体" w:hAnsi="宋体" w:eastAsia="宋体"/>
                <w:sz w:val="21"/>
              </w:rPr>
              <w:t>$C_i$</w:t>
            </w:r>
          </w:p>
        </w:tc>
        <w:tc>
          <w:tcPr>
            <w:tcW w:type="dxa" w:w="3024"/>
          </w:tcPr>
          <w:p>
            <w:pPr>
              <w:jc w:val="center"/>
            </w:pPr>
            <w:r/>
            <w:r>
              <w:rPr>
                <w:rFonts w:ascii="宋体" w:hAnsi="宋体" w:eastAsia="宋体"/>
                <w:sz w:val="21"/>
              </w:rPr>
              <w:t>TOPSIS贴近度</w:t>
            </w:r>
          </w:p>
        </w:tc>
        <w:tc>
          <w:tcPr>
            <w:tcW w:type="dxa" w:w="3024"/>
          </w:tcPr>
          <w:p>
            <w:pPr>
              <w:jc w:val="center"/>
            </w:pPr>
            <w:r/>
            <w:r>
              <w:rPr>
                <w:rFonts w:ascii="宋体" w:hAnsi="宋体" w:eastAsia="宋体"/>
                <w:sz w:val="21"/>
              </w:rPr>
              <w:t>—</w:t>
            </w:r>
          </w:p>
        </w:tc>
      </w:tr>
      <w:tr>
        <w:tc>
          <w:tcPr>
            <w:tcW w:type="dxa" w:w="3024"/>
          </w:tcPr>
          <w:p>
            <w:pPr>
              <w:jc w:val="center"/>
            </w:pPr>
            <w:r/>
            <w:r>
              <w:rPr>
                <w:rFonts w:ascii="宋体" w:hAnsi="宋体" w:eastAsia="宋体"/>
                <w:sz w:val="21"/>
              </w:rPr>
              <w:t>$D_i^+,D_i^-$</w:t>
            </w:r>
          </w:p>
        </w:tc>
        <w:tc>
          <w:tcPr>
            <w:tcW w:type="dxa" w:w="3024"/>
          </w:tcPr>
          <w:p>
            <w:pPr>
              <w:jc w:val="center"/>
            </w:pPr>
            <w:r/>
            <w:r>
              <w:rPr>
                <w:rFonts w:ascii="宋体" w:hAnsi="宋体" w:eastAsia="宋体"/>
                <w:sz w:val="21"/>
              </w:rPr>
              <w:t>与正、负理想解的欧氏距离</w:t>
            </w:r>
          </w:p>
        </w:tc>
        <w:tc>
          <w:tcPr>
            <w:tcW w:type="dxa" w:w="3024"/>
          </w:tcPr>
          <w:p>
            <w:pPr>
              <w:jc w:val="center"/>
            </w:pPr>
            <w:r/>
            <w:r>
              <w:rPr>
                <w:rFonts w:ascii="宋体" w:hAnsi="宋体" w:eastAsia="宋体"/>
                <w:sz w:val="21"/>
              </w:rPr>
              <w:t>—</w:t>
            </w:r>
          </w:p>
        </w:tc>
      </w:tr>
      <w:tr>
        <w:tc>
          <w:tcPr>
            <w:tcW w:type="dxa" w:w="3024"/>
          </w:tcPr>
          <w:p>
            <w:pPr>
              <w:jc w:val="center"/>
            </w:pPr>
            <w:r/>
            <w:r>
              <w:rPr>
                <w:rFonts w:ascii="宋体" w:hAnsi="宋体" w:eastAsia="宋体"/>
                <w:sz w:val="21"/>
              </w:rPr>
              <w:t>$e_j,d_j,w_j$</w:t>
            </w:r>
          </w:p>
        </w:tc>
        <w:tc>
          <w:tcPr>
            <w:tcW w:type="dxa" w:w="3024"/>
          </w:tcPr>
          <w:p>
            <w:pPr>
              <w:jc w:val="center"/>
            </w:pPr>
            <w:r/>
            <w:r>
              <w:rPr>
                <w:rFonts w:ascii="宋体" w:hAnsi="宋体" w:eastAsia="宋体"/>
                <w:sz w:val="21"/>
              </w:rPr>
              <w:t>熵值、差异度、熵权</w:t>
            </w:r>
          </w:p>
        </w:tc>
        <w:tc>
          <w:tcPr>
            <w:tcW w:type="dxa" w:w="3024"/>
          </w:tcPr>
          <w:p>
            <w:pPr>
              <w:jc w:val="center"/>
            </w:pPr>
            <w:r/>
            <w:r>
              <w:rPr>
                <w:rFonts w:ascii="宋体" w:hAnsi="宋体" w:eastAsia="宋体"/>
                <w:sz w:val="21"/>
              </w:rPr>
              <w:t>—</w:t>
            </w:r>
          </w:p>
        </w:tc>
      </w:tr>
      <w:tr>
        <w:tc>
          <w:tcPr>
            <w:tcW w:type="dxa" w:w="3024"/>
          </w:tcPr>
          <w:p>
            <w:pPr>
              <w:jc w:val="center"/>
            </w:pPr>
            <w:r/>
            <w:r>
              <w:rPr>
                <w:rFonts w:ascii="宋体" w:hAnsi="宋体" w:eastAsia="宋体"/>
                <w:sz w:val="21"/>
              </w:rPr>
              <w:t>$S(\mathbf{x},\mathbf{w})$</w:t>
            </w:r>
          </w:p>
        </w:tc>
        <w:tc>
          <w:tcPr>
            <w:tcW w:type="dxa" w:w="3024"/>
          </w:tcPr>
          <w:p>
            <w:pPr>
              <w:jc w:val="center"/>
            </w:pPr>
            <w:r/>
            <w:r>
              <w:rPr>
                <w:rFonts w:ascii="宋体" w:hAnsi="宋体" w:eastAsia="宋体"/>
                <w:sz w:val="21"/>
              </w:rPr>
              <w:t>加权综合性能</w:t>
            </w:r>
          </w:p>
        </w:tc>
        <w:tc>
          <w:tcPr>
            <w:tcW w:type="dxa" w:w="3024"/>
          </w:tcPr>
          <w:p>
            <w:pPr>
              <w:jc w:val="center"/>
            </w:pPr>
            <w:r/>
            <w:r>
              <w:rPr>
                <w:rFonts w:ascii="宋体" w:hAnsi="宋体" w:eastAsia="宋体"/>
                <w:sz w:val="21"/>
              </w:rPr>
              <w:t>—</w:t>
            </w:r>
          </w:p>
        </w:tc>
      </w:tr>
      <w:tr>
        <w:tc>
          <w:tcPr>
            <w:tcW w:type="dxa" w:w="3024"/>
          </w:tcPr>
          <w:p>
            <w:pPr>
              <w:jc w:val="center"/>
            </w:pPr>
            <w:r/>
            <w:r>
              <w:rPr>
                <w:rFonts w:ascii="宋体" w:hAnsi="宋体" w:eastAsia="宋体"/>
                <w:sz w:val="21"/>
              </w:rPr>
              <w:t>$\Omega,\Delta_3$</w:t>
            </w:r>
          </w:p>
        </w:tc>
        <w:tc>
          <w:tcPr>
            <w:tcW w:type="dxa" w:w="3024"/>
          </w:tcPr>
          <w:p>
            <w:pPr>
              <w:jc w:val="center"/>
            </w:pPr>
            <w:r/>
            <w:r>
              <w:rPr>
                <w:rFonts w:ascii="宋体" w:hAnsi="宋体" w:eastAsia="宋体"/>
                <w:sz w:val="21"/>
              </w:rPr>
              <w:t>权重域、三维单纯形</w:t>
            </w:r>
          </w:p>
        </w:tc>
        <w:tc>
          <w:tcPr>
            <w:tcW w:type="dxa" w:w="3024"/>
          </w:tcPr>
          <w:p>
            <w:pPr>
              <w:jc w:val="center"/>
            </w:pPr>
            <w:r/>
            <w:r>
              <w:rPr>
                <w:rFonts w:ascii="宋体" w:hAnsi="宋体" w:eastAsia="宋体"/>
                <w:sz w:val="21"/>
              </w:rPr>
              <w:t>—</w:t>
            </w:r>
          </w:p>
        </w:tc>
      </w:tr>
      <w:tr>
        <w:tc>
          <w:tcPr>
            <w:tcW w:type="dxa" w:w="3024"/>
          </w:tcPr>
          <w:p>
            <w:pPr>
              <w:jc w:val="center"/>
            </w:pPr>
            <w:r/>
            <w:r>
              <w:rPr>
                <w:rFonts w:ascii="宋体" w:hAnsi="宋体" w:eastAsia="宋体"/>
                <w:sz w:val="21"/>
              </w:rPr>
              <w:t>$W,B,E_S$</w:t>
            </w:r>
          </w:p>
        </w:tc>
        <w:tc>
          <w:tcPr>
            <w:tcW w:type="dxa" w:w="3024"/>
          </w:tcPr>
          <w:p>
            <w:pPr>
              <w:jc w:val="center"/>
            </w:pPr>
            <w:r/>
            <w:r>
              <w:rPr>
                <w:rFonts w:ascii="宋体" w:hAnsi="宋体" w:eastAsia="宋体"/>
                <w:sz w:val="21"/>
              </w:rPr>
              <w:t>最坏情形分、偏好敏感带宽、均匀偏好期望</w:t>
            </w:r>
          </w:p>
        </w:tc>
        <w:tc>
          <w:tcPr>
            <w:tcW w:type="dxa" w:w="3024"/>
          </w:tcPr>
          <w:p>
            <w:pPr>
              <w:jc w:val="center"/>
            </w:pPr>
            <w:r/>
            <w:r>
              <w:rPr>
                <w:rFonts w:ascii="宋体" w:hAnsi="宋体" w:eastAsia="宋体"/>
                <w:sz w:val="21"/>
              </w:rPr>
              <w:t>—</w:t>
            </w:r>
          </w:p>
        </w:tc>
      </w:tr>
      <w:tr>
        <w:tc>
          <w:tcPr>
            <w:tcW w:type="dxa" w:w="3024"/>
          </w:tcPr>
          <w:p>
            <w:pPr>
              <w:jc w:val="center"/>
            </w:pPr>
            <w:r/>
            <w:r>
              <w:rPr>
                <w:rFonts w:ascii="宋体" w:hAnsi="宋体" w:eastAsia="宋体"/>
                <w:sz w:val="21"/>
              </w:rPr>
              <w:t>$\varepsilon_{ij}$</w:t>
            </w:r>
          </w:p>
        </w:tc>
        <w:tc>
          <w:tcPr>
            <w:tcW w:type="dxa" w:w="3024"/>
          </w:tcPr>
          <w:p>
            <w:pPr>
              <w:jc w:val="center"/>
            </w:pPr>
            <w:r/>
            <w:r>
              <w:rPr>
                <w:rFonts w:ascii="宋体" w:hAnsi="宋体" w:eastAsia="宋体"/>
                <w:sz w:val="21"/>
              </w:rPr>
              <w:t>性能$i$对参数$j$的弹性系数</w:t>
            </w:r>
          </w:p>
        </w:tc>
        <w:tc>
          <w:tcPr>
            <w:tcW w:type="dxa" w:w="3024"/>
          </w:tcPr>
          <w:p>
            <w:pPr>
              <w:jc w:val="center"/>
            </w:pPr>
            <w:r/>
            <w:r>
              <w:rPr>
                <w:rFonts w:ascii="宋体" w:hAnsi="宋体" w:eastAsia="宋体"/>
                <w:sz w:val="21"/>
              </w:rPr>
              <w:t>—</w:t>
            </w:r>
          </w:p>
        </w:tc>
      </w:tr>
      <w:tr>
        <w:tc>
          <w:tcPr>
            <w:tcW w:type="dxa" w:w="3024"/>
          </w:tcPr>
          <w:p>
            <w:pPr>
              <w:jc w:val="center"/>
            </w:pPr>
            <w:r/>
            <w:r>
              <w:rPr>
                <w:rFonts w:ascii="宋体" w:hAnsi="宋体" w:eastAsia="宋体"/>
                <w:sz w:val="21"/>
              </w:rPr>
              <w:t>$S_{1i},S_{Ti}$</w:t>
            </w:r>
          </w:p>
        </w:tc>
        <w:tc>
          <w:tcPr>
            <w:tcW w:type="dxa" w:w="3024"/>
          </w:tcPr>
          <w:p>
            <w:pPr>
              <w:jc w:val="center"/>
            </w:pPr>
            <w:r/>
            <w:r>
              <w:rPr>
                <w:rFonts w:ascii="宋体" w:hAnsi="宋体" w:eastAsia="宋体"/>
                <w:sz w:val="21"/>
              </w:rPr>
              <w:t>Sobol一阶、总效应灵敏度指数</w:t>
            </w:r>
          </w:p>
        </w:tc>
        <w:tc>
          <w:tcPr>
            <w:tcW w:type="dxa" w:w="3024"/>
          </w:tcPr>
          <w:p>
            <w:pPr>
              <w:jc w:val="center"/>
            </w:pPr>
            <w:r/>
            <w:r>
              <w:rPr>
                <w:rFonts w:ascii="宋体" w:hAnsi="宋体" w:eastAsia="宋体"/>
                <w:sz w:val="21"/>
              </w:rPr>
              <w:t>—</w:t>
            </w:r>
          </w:p>
        </w:tc>
      </w:tr>
      <w:tr>
        <w:tc>
          <w:tcPr>
            <w:tcW w:type="dxa" w:w="3024"/>
          </w:tcPr>
          <w:p>
            <w:pPr>
              <w:jc w:val="center"/>
            </w:pPr>
            <w:r/>
            <w:r>
              <w:rPr>
                <w:rFonts w:ascii="宋体" w:hAnsi="宋体" w:eastAsia="宋体"/>
                <w:sz w:val="21"/>
              </w:rPr>
              <w:t>$CV$</w:t>
            </w:r>
          </w:p>
        </w:tc>
        <w:tc>
          <w:tcPr>
            <w:tcW w:type="dxa" w:w="3024"/>
          </w:tcPr>
          <w:p>
            <w:pPr>
              <w:jc w:val="center"/>
            </w:pPr>
            <w:r/>
            <w:r>
              <w:rPr>
                <w:rFonts w:ascii="宋体" w:hAnsi="宋体" w:eastAsia="宋体"/>
                <w:sz w:val="21"/>
              </w:rPr>
              <w:t>变异系数（标准差/均值）</w:t>
            </w:r>
          </w:p>
        </w:tc>
        <w:tc>
          <w:tcPr>
            <w:tcW w:type="dxa" w:w="3024"/>
          </w:tcPr>
          <w:p>
            <w:pPr>
              <w:jc w:val="center"/>
            </w:pPr>
            <w:r/>
            <w:r>
              <w:rPr>
                <w:rFonts w:ascii="宋体" w:hAnsi="宋体" w:eastAsia="宋体"/>
                <w:sz w:val="21"/>
              </w:rPr>
              <w:t>—</w:t>
            </w:r>
          </w:p>
        </w:tc>
      </w:tr>
      <w:tr>
        <w:tc>
          <w:tcPr>
            <w:tcW w:type="dxa" w:w="3024"/>
          </w:tcPr>
          <w:p>
            <w:pPr>
              <w:jc w:val="center"/>
            </w:pPr>
            <w:r/>
            <w:r>
              <w:rPr>
                <w:rFonts w:ascii="宋体" w:hAnsi="宋体" w:eastAsia="宋体"/>
                <w:sz w:val="21"/>
              </w:rPr>
              <w:t>$p_{fail}$</w:t>
            </w:r>
          </w:p>
        </w:tc>
        <w:tc>
          <w:tcPr>
            <w:tcW w:type="dxa" w:w="3024"/>
          </w:tcPr>
          <w:p>
            <w:pPr>
              <w:jc w:val="center"/>
            </w:pPr>
            <w:r/>
            <w:r>
              <w:rPr>
                <w:rFonts w:ascii="宋体" w:hAnsi="宋体" w:eastAsia="宋体"/>
                <w:sz w:val="21"/>
              </w:rPr>
              <w:t>失效概率</w:t>
            </w:r>
          </w:p>
        </w:tc>
        <w:tc>
          <w:tcPr>
            <w:tcW w:type="dxa" w:w="3024"/>
          </w:tcPr>
          <w:p>
            <w:pPr>
              <w:jc w:val="center"/>
            </w:pPr>
            <w:r/>
            <w:r>
              <w:rPr>
                <w:rFonts w:ascii="宋体" w:hAnsi="宋体" w:eastAsia="宋体"/>
                <w:sz w:val="21"/>
              </w:rPr>
              <w:t>—</w:t>
            </w:r>
          </w:p>
        </w:tc>
      </w:tr>
      <w:tr>
        <w:tc>
          <w:tcPr>
            <w:tcW w:type="dxa" w:w="3024"/>
          </w:tcPr>
          <w:p>
            <w:pPr>
              <w:jc w:val="center"/>
            </w:pPr>
            <w:r/>
            <w:r>
              <w:rPr>
                <w:rFonts w:ascii="宋体" w:hAnsi="宋体" w:eastAsia="宋体"/>
                <w:sz w:val="21"/>
              </w:rPr>
              <w:t>$\sigma_{op}$</w:t>
            </w:r>
          </w:p>
        </w:tc>
        <w:tc>
          <w:tcPr>
            <w:tcW w:type="dxa" w:w="3024"/>
          </w:tcPr>
          <w:p>
            <w:pPr>
              <w:jc w:val="center"/>
            </w:pPr>
            <w:r/>
            <w:r>
              <w:rPr>
                <w:rFonts w:ascii="宋体" w:hAnsi="宋体" w:eastAsia="宋体"/>
                <w:sz w:val="21"/>
              </w:rPr>
              <w:t>工况波动小噪声（1.5%）</w:t>
            </w:r>
          </w:p>
        </w:tc>
        <w:tc>
          <w:tcPr>
            <w:tcW w:type="dxa" w:w="3024"/>
          </w:tcPr>
          <w:p>
            <w:pPr>
              <w:jc w:val="center"/>
            </w:pPr>
            <w:r/>
            <w:r>
              <w:rPr>
                <w:rFonts w:ascii="宋体" w:hAnsi="宋体" w:eastAsia="宋体"/>
                <w:sz w:val="21"/>
              </w:rPr>
              <w:t>—</w:t>
            </w:r>
          </w:p>
        </w:tc>
      </w:tr>
    </w:tbl>
    <w:p>
      <w:pPr>
        <w:spacing w:after="120" w:line="360" w:lineRule="auto"/>
        <w:ind w:firstLine="420"/>
      </w:pPr>
      <w:r>
        <w:rPr>
          <w:rFonts w:ascii="宋体" w:hAnsi="宋体" w:eastAsia="宋体"/>
          <w:b w:val="0"/>
          <w:sz w:val="24"/>
        </w:rPr>
        <w:t>需要说明的是，本文中$\tilde{R},\tilde{P},\tilde{T}$在正文多次出现，均指按训练数据范围min-max归一化后的无量纲指标；未归一化的原始无量纲指标记为$R,P,T$。</w:t>
      </w:r>
    </w:p>
    <w:p>
      <w:pPr>
        <w:spacing w:before="240" w:after="160"/>
      </w:pPr>
      <w:r>
        <w:rPr>
          <w:rFonts w:ascii="黑体" w:hAnsi="黑体" w:eastAsia="黑体"/>
          <w:b/>
          <w:sz w:val="32"/>
        </w:rPr>
        <w:t>模型建立与求解</w:t>
      </w:r>
    </w:p>
    <w:p>
      <w:pPr>
        <w:spacing w:after="120" w:line="360" w:lineRule="auto"/>
        <w:ind w:firstLine="420"/>
      </w:pPr>
      <w:r>
        <w:rPr>
          <w:rFonts w:ascii="宋体" w:hAnsi="宋体" w:eastAsia="宋体"/>
          <w:b w:val="0"/>
          <w:sz w:val="24"/>
        </w:rPr>
        <w:t>本章针对五个子问题，依次建立机理模型（5.1节）、GPR代理模型（5.2节）、多目标优化模型（5.3节）、鲁棒设计模型（5.4节）与敏感性分析模型（5.5节），每节按“数据预处理—模型建立—模型求解—模型检验—结果分析”的五段式结构展开，给出完整的建模、求解、验证与结论。</w:t>
      </w:r>
    </w:p>
    <w:p>
      <w:pPr>
        <w:spacing w:before="160" w:after="120"/>
      </w:pPr>
      <w:r>
        <w:rPr>
          <w:rFonts w:ascii="黑体" w:hAnsi="黑体" w:eastAsia="黑体"/>
          <w:b/>
          <w:sz w:val="28"/>
        </w:rPr>
        <w:t>问题一：机理建模与影响规律分析</w:t>
      </w:r>
    </w:p>
    <w:p>
      <w:pPr>
        <w:spacing w:after="120" w:line="360" w:lineRule="auto"/>
        <w:ind w:firstLine="420"/>
      </w:pPr>
      <w:r>
        <w:rPr>
          <w:rFonts w:ascii="宋体" w:hAnsi="宋体" w:eastAsia="宋体"/>
          <w:b w:val="0"/>
          <w:sz w:val="24"/>
        </w:rPr>
        <w:t>针对问题一，本节从传热与流动的基本机理出发，建立结构参数$(r,h,n)$到三性能指标$(R,P,T)$的流向分段热—流耦合机理模型，标定模型系数后分析各参数的影响规律，并论证三指标作为综合评价依据的合理性。具体过程如下。</w:t>
      </w:r>
    </w:p>
    <w:p>
      <w:pPr>
        <w:spacing w:before="160" w:after="120"/>
      </w:pPr>
      <w:r>
        <w:rPr>
          <w:rFonts w:ascii="黑体" w:hAnsi="黑体" w:eastAsia="黑体"/>
          <w:b/>
          <w:sz w:val="24"/>
        </w:rPr>
        <w:t>数据准备与预处理</w:t>
      </w:r>
    </w:p>
    <w:p>
      <w:pPr>
        <w:spacing w:after="120" w:line="360" w:lineRule="auto"/>
        <w:ind w:firstLine="420"/>
      </w:pPr>
      <w:r>
        <w:rPr>
          <w:rFonts w:ascii="宋体" w:hAnsi="宋体" w:eastAsia="宋体"/>
          <w:b w:val="0"/>
          <w:sz w:val="24"/>
        </w:rPr>
        <w:t>附件2提供84组设计样本，覆盖$r\in\{0,0.1,0.15,0.2,0.3\}$、$h\in\{3,3.5,4,4.5\}$、$n\in\{0,2,4,6,8,10\}$的全因子网格，其中$r=0$时$n=0$（4组无针肋基线）、$r&gt;0$时$n$取偶数（80组有针肋样本）。经检查，样本无缺失值与重复值，三指标均为平滑的无量纲量，随机噪声可忽略，故无需缺失填补、去重或异常值清洗等额外预处理，直接用于模型标定与验证。</w:t>
      </w:r>
    </w:p>
    <w:p>
      <w:pPr>
        <w:spacing w:before="160" w:after="120"/>
      </w:pPr>
      <w:r>
        <w:rPr>
          <w:rFonts w:ascii="黑体" w:hAnsi="黑体" w:eastAsia="黑体"/>
          <w:b/>
          <w:sz w:val="24"/>
        </w:rPr>
        <w:t>流向分段热—流耦合模型的建立</w:t>
      </w:r>
    </w:p>
    <w:p>
      <w:pPr>
        <w:spacing w:after="120" w:line="360" w:lineRule="auto"/>
        <w:ind w:firstLine="420"/>
      </w:pPr>
      <w:r>
        <w:rPr>
          <w:rFonts w:ascii="宋体" w:hAnsi="宋体" w:eastAsia="宋体"/>
          <w:b/>
          <w:sz w:val="24"/>
        </w:rPr>
        <w:t>步骤1：总热阻的导热—对流分解。</w:t>
      </w:r>
      <w:r>
        <w:rPr>
          <w:rFonts w:ascii="宋体" w:hAnsi="宋体" w:eastAsia="宋体"/>
          <w:b w:val="0"/>
          <w:sz w:val="24"/>
        </w:rPr>
        <w:t>芯片体热源产生的热量经芯片与衬底导热、微通道壁面与冷却液对流换热被带走，将系统沿流向离散为$K=20$段，每段总热阻由固体导热段与对流换热段串联构成：</w:t>
      </w:r>
    </w:p>
    <w:p>
      <w:pPr>
        <w:spacing w:after="120" w:line="312" w:lineRule="auto"/>
        <w:jc w:val="center"/>
      </w:pPr>
      <w:r>
        <w:rPr>
          <w:rFonts w:ascii="宋体" w:hAnsi="宋体" w:eastAsia="宋体"/>
          <w:b w:val="0"/>
          <w:sz w:val="24"/>
        </w:rPr>
        <w:t>R_{seg}=\frac{t_{chip}/k_{chip}+t_{sub}/k_{AlN}}{A_{foot}}+R_{conv} \tag{1}</w:t>
      </w:r>
    </w:p>
    <w:p>
      <w:pPr>
        <w:spacing w:after="120" w:line="360" w:lineRule="auto"/>
        <w:ind w:firstLine="420"/>
      </w:pPr>
      <w:r>
        <w:rPr>
          <w:rFonts w:ascii="宋体" w:hAnsi="宋体" w:eastAsia="宋体"/>
          <w:b w:val="0"/>
          <w:sz w:val="24"/>
        </w:rPr>
        <w:t>其中，$t_{chip}$、$t_{sub}$为芯片与基板厚度，$k_{chip}$、$k_{AlN}$为其导热系数，$A_{foot}$为该段底部面积，$R_{conv}$为对流热阻。下面对$R_{conv}$建模。</w:t>
      </w:r>
    </w:p>
    <w:p>
      <w:pPr>
        <w:spacing w:after="120" w:line="360" w:lineRule="auto"/>
        <w:ind w:firstLine="420"/>
      </w:pPr>
      <w:r>
        <w:rPr>
          <w:rFonts w:ascii="宋体" w:hAnsi="宋体" w:eastAsia="宋体"/>
          <w:b/>
          <w:sz w:val="24"/>
        </w:rPr>
        <w:t>步骤2：针肋强化换热与肋效率。</w:t>
      </w:r>
      <w:r>
        <w:rPr>
          <w:rFonts w:ascii="宋体" w:hAnsi="宋体" w:eastAsia="宋体"/>
          <w:b w:val="0"/>
          <w:sz w:val="24"/>
        </w:rPr>
        <w:t>歧管式微通道散热可显著提升单位面积散热能力[11]。针肋通过增大换热面积与增强流体扰动降低对流热阻。该段对流热阻为</w:t>
      </w:r>
    </w:p>
    <w:p>
      <w:pPr>
        <w:spacing w:after="120" w:line="312" w:lineRule="auto"/>
        <w:jc w:val="center"/>
      </w:pPr>
      <w:r>
        <w:rPr>
          <w:rFonts w:ascii="宋体" w:hAnsi="宋体" w:eastAsia="宋体"/>
          <w:b w:val="0"/>
          <w:sz w:val="24"/>
        </w:rPr>
        <w:t>R_{conv}=\frac{1}{h_c\left(A_{base}+\eta_f A_{fin}\right)} \tag{2}</w:t>
      </w:r>
    </w:p>
    <w:p>
      <w:pPr>
        <w:spacing w:after="120" w:line="360" w:lineRule="auto"/>
        <w:ind w:firstLine="420"/>
      </w:pPr>
      <w:r>
        <w:rPr>
          <w:rFonts w:ascii="宋体" w:hAnsi="宋体" w:eastAsia="宋体"/>
          <w:b w:val="0"/>
          <w:sz w:val="24"/>
        </w:rPr>
        <w:t>其中，$A_{base}$为基座润湿面积，$A_{fin}$为该段针肋侧面积，$\eta_f$为针肋肋效率。将针肋近似为等截面直肋：</w:t>
      </w:r>
    </w:p>
    <w:p>
      <w:pPr>
        <w:spacing w:after="120" w:line="312" w:lineRule="auto"/>
        <w:jc w:val="center"/>
      </w:pPr>
      <w:r>
        <w:rPr>
          <w:rFonts w:ascii="宋体" w:hAnsi="宋体" w:eastAsia="宋体"/>
          <w:b w:val="0"/>
          <w:sz w:val="24"/>
        </w:rPr>
        <w:t>\eta_f=\frac{\tanh(mH_{CH})}{mH_{CH}},\qquad m=\sqrt{\frac{4h_c}{k_{pin}d}} \tag{3}</w:t>
      </w:r>
    </w:p>
    <w:p>
      <w:pPr>
        <w:spacing w:after="120" w:line="360" w:lineRule="auto"/>
        <w:ind w:firstLine="420"/>
      </w:pPr>
      <w:r>
        <w:rPr>
          <w:rFonts w:ascii="宋体" w:hAnsi="宋体" w:eastAsia="宋体"/>
          <w:b w:val="0"/>
          <w:sz w:val="24"/>
        </w:rPr>
        <w:t>其中，$H_{CH}$为通道高度，$k_{pin}$为针肋导热系数，$d=rW_{CH}$为针肋直径，$W_{CH}$为通道宽度。可见$r$、$n$增大时$A_{fin}$增大、$\eta_f$较高，对流换热增强。</w:t>
      </w:r>
    </w:p>
    <w:p>
      <w:pPr>
        <w:spacing w:after="120" w:line="360" w:lineRule="auto"/>
        <w:ind w:firstLine="420"/>
      </w:pPr>
      <w:r>
        <w:rPr>
          <w:rFonts w:ascii="宋体" w:hAnsi="宋体" w:eastAsia="宋体"/>
          <w:b/>
          <w:sz w:val="24"/>
        </w:rPr>
        <w:t>步骤3：对流换热系数的入口段修正。</w:t>
      </w:r>
      <w:r>
        <w:rPr>
          <w:rFonts w:ascii="宋体" w:hAnsi="宋体" w:eastAsia="宋体"/>
          <w:b w:val="0"/>
          <w:sz w:val="24"/>
        </w:rPr>
        <w:t>微通道内为层流，努塞尔数取Sieder–Tate型入口段关联式[10]：</w:t>
      </w:r>
    </w:p>
    <w:p>
      <w:pPr>
        <w:spacing w:after="120" w:line="312" w:lineRule="auto"/>
        <w:jc w:val="center"/>
      </w:pPr>
      <w:r>
        <w:rPr>
          <w:rFonts w:ascii="宋体" w:hAnsi="宋体" w:eastAsia="宋体"/>
          <w:b w:val="0"/>
          <w:sz w:val="24"/>
        </w:rPr>
        <w:t>Nu=4.36+\frac{0.066\,Gz}{1+0.04\,Gz^{2/3}},\qquad Gz=\frac{D_h}{L}Re\,Pr \tag{4}</w:t>
      </w:r>
    </w:p>
    <w:p>
      <w:pPr>
        <w:spacing w:after="120" w:line="360" w:lineRule="auto"/>
        <w:ind w:firstLine="420"/>
      </w:pPr>
      <w:r>
        <w:rPr>
          <w:rFonts w:ascii="宋体" w:hAnsi="宋体" w:eastAsia="宋体"/>
          <w:b w:val="0"/>
          <w:sz w:val="24"/>
        </w:rPr>
        <w:t>其中，$D_h$为水力直径，$L$为冷却区长度，$Re$、$Pr$为雷诺数与普朗特数。针肋堵塞使局部流速增大，引入堵塞比$v_r=1/(1-r)$修正雷诺数。对流换热系数为$h_c=Nu\cdot k_w/D_h$。</w:t>
      </w:r>
    </w:p>
    <w:p>
      <w:pPr>
        <w:spacing w:after="120" w:line="360" w:lineRule="auto"/>
        <w:ind w:firstLine="420"/>
      </w:pPr>
      <w:r>
        <w:rPr>
          <w:rFonts w:ascii="宋体" w:hAnsi="宋体" w:eastAsia="宋体"/>
          <w:b/>
          <w:sz w:val="24"/>
        </w:rPr>
        <w:t>步骤4：针肋扰动增强与死区热点。</w:t>
      </w:r>
      <w:r>
        <w:rPr>
          <w:rFonts w:ascii="宋体" w:hAnsi="宋体" w:eastAsia="宋体"/>
          <w:b w:val="0"/>
          <w:sz w:val="24"/>
        </w:rPr>
        <w:t>针肋扰动增强换热但过密会饱和甚至削弱，取</w:t>
      </w:r>
    </w:p>
    <w:p>
      <w:pPr>
        <w:spacing w:after="120" w:line="312" w:lineRule="auto"/>
        <w:jc w:val="center"/>
      </w:pPr>
      <w:r>
        <w:rPr>
          <w:rFonts w:ascii="宋体" w:hAnsi="宋体" w:eastAsia="宋体"/>
          <w:b w:val="0"/>
          <w:sz w:val="24"/>
        </w:rPr>
        <w:t>g(n_b)=\max\left(0,\ c_1 n_b+c_2 n_b^2\right),\qquad e_{nh}=1+g(n_b)\left[1-\exp\left(-\frac{x_c}{L_{therm}L}\right)\right] \tag{5}</w:t>
      </w:r>
    </w:p>
    <w:p>
      <w:pPr>
        <w:spacing w:after="120" w:line="360" w:lineRule="auto"/>
        <w:ind w:firstLine="420"/>
      </w:pPr>
      <w:r>
        <w:rPr>
          <w:rFonts w:ascii="宋体" w:hAnsi="宋体" w:eastAsia="宋体"/>
          <w:b w:val="0"/>
          <w:sz w:val="24"/>
        </w:rPr>
        <w:t>其中，$n_b$为段前累计排数，$c_1$、$c_2$为增强系数，$x_c$为段中心位置，$L_{therm}$为热发展长度比例；$e_{nh}$整体修正$h_c$。另一方面，针肋过密会造成局部堵塞死区、恶化换热，引入死区热点热阻</w:t>
      </w:r>
    </w:p>
    <w:p>
      <w:pPr>
        <w:spacing w:after="120" w:line="312" w:lineRule="auto"/>
        <w:jc w:val="center"/>
      </w:pPr>
      <w:r>
        <w:rPr>
          <w:rFonts w:ascii="宋体" w:hAnsi="宋体" w:eastAsia="宋体"/>
          <w:b w:val="0"/>
          <w:sz w:val="24"/>
        </w:rPr>
        <w:t>R_{dz}=c_{dz}\left[\left(\frac{\max(0,r-r_{thr})}{0.3-r_{thr}}\right)^{g_r}+\left(\frac{\max(0,n-n_{thr})}{10-n_{thr}}\right)^{g_n}\right] \tag{6}</w:t>
      </w:r>
    </w:p>
    <w:p>
      <w:pPr>
        <w:spacing w:after="120" w:line="360" w:lineRule="auto"/>
        <w:ind w:firstLine="420"/>
      </w:pPr>
      <w:r>
        <w:rPr>
          <w:rFonts w:ascii="宋体" w:hAnsi="宋体" w:eastAsia="宋体"/>
          <w:b w:val="0"/>
          <w:sz w:val="24"/>
        </w:rPr>
        <w:t>其中，$r_{thr}$、$n_{thr}$为触发阈值，$g_r$、$g_n$为指数，$c_{dz}$为系数。</w:t>
      </w:r>
    </w:p>
    <w:p>
      <w:pPr>
        <w:spacing w:after="120" w:line="360" w:lineRule="auto"/>
        <w:ind w:firstLine="420"/>
      </w:pPr>
      <w:r>
        <w:rPr>
          <w:rFonts w:ascii="宋体" w:hAnsi="宋体" w:eastAsia="宋体"/>
          <w:b/>
          <w:sz w:val="24"/>
        </w:rPr>
        <w:t>步骤5：沿流向递推与指标定义。</w:t>
      </w:r>
      <w:r>
        <w:rPr>
          <w:rFonts w:ascii="宋体" w:hAnsi="宋体" w:eastAsia="宋体"/>
          <w:b w:val="0"/>
          <w:sz w:val="24"/>
        </w:rPr>
        <w:t>逐段递推流体温度与壁面温度：</w:t>
      </w:r>
    </w:p>
    <w:p>
      <w:pPr>
        <w:spacing w:after="120" w:line="312" w:lineRule="auto"/>
        <w:jc w:val="center"/>
      </w:pPr>
      <w:r>
        <w:rPr>
          <w:rFonts w:ascii="宋体" w:hAnsi="宋体" w:eastAsia="宋体"/>
          <w:b w:val="0"/>
          <w:sz w:val="24"/>
        </w:rPr>
        <w:t>T_{f,k+1}=T_{f,k}+\frac{Q_{seg}}{\dot m_{ch}c_p},\qquad T_{j,k}=T_{f,k}+Q_{seg}\left(R_{conv,k}+R_{dz,k}+R_{cond,seg}\right)+Q_{total}R_{cond,man} \tag{7}</w:t>
      </w:r>
    </w:p>
    <w:p>
      <w:pPr>
        <w:spacing w:after="120" w:line="360" w:lineRule="auto"/>
        <w:ind w:firstLine="420"/>
      </w:pPr>
      <w:r>
        <w:rPr>
          <w:rFonts w:ascii="宋体" w:hAnsi="宋体" w:eastAsia="宋体"/>
          <w:b w:val="0"/>
          <w:sz w:val="24"/>
        </w:rPr>
        <w:t>其中，$\dot m_{ch}$为单通道流量，$Q_{seg}$为段热量，$R_{cond,man}=c_{manh}(H_m/H_{CH})$刻画歧管加深引起的传导热路径延长。据此定义物理热阻与温度非均匀性：</w:t>
      </w:r>
    </w:p>
    <w:p>
      <w:pPr>
        <w:spacing w:after="120" w:line="312" w:lineRule="auto"/>
        <w:jc w:val="center"/>
      </w:pPr>
      <w:r>
        <w:rPr>
          <w:rFonts w:ascii="宋体" w:hAnsi="宋体" w:eastAsia="宋体"/>
          <w:b w:val="0"/>
          <w:sz w:val="24"/>
        </w:rPr>
        <w:t>R_{phys}=\frac{T_{j,\max}-T_{in}}{Q_{total}},\qquad T_{phys}=\frac{T_{j,\max}-T_{j,\min}}{T_{j,\rm{mean}}-T_{in}} \tag{8}</w:t>
      </w:r>
    </w:p>
    <w:p>
      <w:pPr>
        <w:spacing w:after="120" w:line="360" w:lineRule="auto"/>
        <w:ind w:firstLine="420"/>
      </w:pPr>
      <w:r>
        <w:rPr>
          <w:rFonts w:ascii="宋体" w:hAnsi="宋体" w:eastAsia="宋体"/>
          <w:b/>
          <w:sz w:val="24"/>
        </w:rPr>
        <w:t>步骤6：压降建模。</w:t>
      </w:r>
      <w:r>
        <w:rPr>
          <w:rFonts w:ascii="宋体" w:hAnsi="宋体" w:eastAsia="宋体"/>
          <w:b w:val="0"/>
          <w:sz w:val="24"/>
        </w:rPr>
        <w:t>压降由通道沿程、针肋绕流与歧管局部三部分构成：</w:t>
      </w:r>
    </w:p>
    <w:p>
      <w:pPr>
        <w:spacing w:after="120" w:line="312" w:lineRule="auto"/>
        <w:jc w:val="center"/>
      </w:pPr>
      <w:r>
        <w:rPr>
          <w:rFonts w:ascii="宋体" w:hAnsi="宋体" w:eastAsia="宋体"/>
          <w:b w:val="0"/>
          <w:sz w:val="24"/>
        </w:rPr>
        <w:t>\Delta P_{ch}=f_{ch}\frac{L}{D_h}\frac{\rho(u\,v_r)^2}{2},\qquad f_{ch}=\frac{64}{Re\,v_r} \tag{9}</w:t>
      </w:r>
    </w:p>
    <w:p>
      <w:pPr>
        <w:spacing w:after="120" w:line="312" w:lineRule="auto"/>
        <w:jc w:val="center"/>
      </w:pPr>
      <w:r>
        <w:rPr>
          <w:rFonts w:ascii="宋体" w:hAnsi="宋体" w:eastAsia="宋体"/>
          <w:b w:val="0"/>
          <w:sz w:val="24"/>
        </w:rPr>
        <w:t>\Delta P_{pin}=n\cdot\frac{1}{2}\rho(u\,v_r)^2\,C_D\frac{d}{W_{CH}},\qquad C_D=\frac{c_{d0}}{(1-r)^{p_e}} \tag{10}</w:t>
      </w:r>
    </w:p>
    <w:p>
      <w:pPr>
        <w:spacing w:after="120" w:line="312" w:lineRule="auto"/>
        <w:jc w:val="center"/>
      </w:pPr>
      <w:r>
        <w:rPr>
          <w:rFonts w:ascii="宋体" w:hAnsi="宋体" w:eastAsia="宋体"/>
          <w:b w:val="0"/>
          <w:sz w:val="24"/>
        </w:rPr>
        <w:t>\Delta P_{man}=\zeta\cdot\frac{1}{2}\rho u_{man}^2,\qquad u_{man}=\frac{\dot m_{ch}}{\rho\,A_{man}},\quad A_{man}=P_{itch}H_m=P_{itch}hH_{CH} \tag{11}</w:t>
      </w:r>
    </w:p>
    <w:p>
      <w:pPr>
        <w:spacing w:after="120" w:line="312" w:lineRule="auto"/>
        <w:jc w:val="center"/>
      </w:pPr>
      <w:r>
        <w:rPr>
          <w:rFonts w:ascii="宋体" w:hAnsi="宋体" w:eastAsia="宋体"/>
          <w:b w:val="0"/>
          <w:sz w:val="24"/>
        </w:rPr>
        <w:t>P_{phys}=\Delta P_{ch}+\Delta P_{pin}+\Delta P_{man} \tag{12}</w:t>
      </w:r>
    </w:p>
    <w:p>
      <w:pPr>
        <w:spacing w:after="120" w:line="360" w:lineRule="auto"/>
        <w:ind w:firstLine="420"/>
      </w:pPr>
      <w:r>
        <w:rPr>
          <w:rFonts w:ascii="宋体" w:hAnsi="宋体" w:eastAsia="宋体"/>
          <w:b w:val="0"/>
          <w:sz w:val="24"/>
        </w:rPr>
        <w:t>其中，$u$为通道内流速，$u_{man}$为歧管流速，$A_{man}$为歧管过流截面，$\zeta$为歧管局部损失系数。式(11)表明$u_{man}\propto 1/H_m\propto 1/h$，故$\Delta P_{man}\propto 1/h^2$，与数据中"$h$增大压降显著下降"一致。</w:t>
      </w:r>
    </w:p>
    <w:p>
      <w:pPr>
        <w:spacing w:after="120" w:line="360" w:lineRule="auto"/>
        <w:ind w:firstLine="420"/>
      </w:pPr>
      <w:r>
        <w:rPr>
          <w:rFonts w:ascii="宋体" w:hAnsi="宋体" w:eastAsia="宋体"/>
          <w:b/>
          <w:sz w:val="24"/>
        </w:rPr>
        <w:t>步骤7：无量纲化与系数标定。</w:t>
      </w:r>
      <w:r>
        <w:rPr>
          <w:rFonts w:ascii="宋体" w:hAnsi="宋体" w:eastAsia="宋体"/>
          <w:b w:val="0"/>
          <w:sz w:val="24"/>
        </w:rPr>
        <w:t>由于物理量量纲与数据无量纲指标存在换算因子，对每个指标引入标定系数$\kappa$，用附件2样本过原点最小二乘标定：</w:t>
      </w:r>
    </w:p>
    <w:p>
      <w:pPr>
        <w:spacing w:after="120" w:line="312" w:lineRule="auto"/>
        <w:jc w:val="center"/>
      </w:pPr>
      <w:r>
        <w:rPr>
          <w:rFonts w:ascii="宋体" w:hAnsi="宋体" w:eastAsia="宋体"/>
          <w:b w:val="0"/>
          <w:sz w:val="24"/>
        </w:rPr>
        <w:t>\hat R=\kappa_R R_{phys},\quad \hat P=\kappa_P P_{phys},\quad \hat T=\kappa_T T_{phys},\qquad \kappa=\frac{\sum x_i y_i}{\sum x_i^2} \tag{13}</w:t>
      </w:r>
    </w:p>
    <w:p>
      <w:pPr>
        <w:spacing w:after="120" w:line="360" w:lineRule="auto"/>
        <w:ind w:firstLine="420"/>
      </w:pPr>
      <w:r>
        <w:rPr>
          <w:rFonts w:ascii="宋体" w:hAnsi="宋体" w:eastAsia="宋体"/>
          <w:b w:val="0"/>
          <w:sz w:val="24"/>
        </w:rPr>
        <w:t>综上所述，本节建立了流向分段热—流耦合机理模型，共含9个物理机制对应的可标定系数，接下来基于附件2数据求解并分析影响规律。</w:t>
      </w:r>
    </w:p>
    <w:p>
      <w:pPr>
        <w:spacing w:before="160" w:after="120"/>
      </w:pPr>
      <w:r>
        <w:rPr>
          <w:rFonts w:ascii="黑体" w:hAnsi="黑体" w:eastAsia="黑体"/>
          <w:b/>
          <w:sz w:val="24"/>
        </w:rPr>
        <w:t>模型的求解与影响规律</w:t>
      </w:r>
    </w:p>
    <w:p>
      <w:pPr>
        <w:spacing w:after="120" w:line="360" w:lineRule="auto"/>
        <w:ind w:firstLine="420"/>
      </w:pPr>
      <w:r>
        <w:rPr>
          <w:rFonts w:ascii="宋体" w:hAnsi="宋体" w:eastAsia="宋体"/>
          <w:b w:val="0"/>
          <w:sz w:val="24"/>
        </w:rPr>
        <w:t>用附件2的84组样本标定式(13)中的系数，得到$\kappa_R=1.780$、$\kappa_P=4.925\times10^{-5}$（含物理压降Pa到无量纲数据的单位换算）、$\kappa_T=1.227$。标定后模型与数据的拟合精度如表5-1所示。</w:t>
      </w:r>
    </w:p>
    <w:p>
      <w:pPr>
        <w:spacing w:after="120" w:line="360" w:lineRule="auto"/>
        <w:ind w:firstLine="420"/>
      </w:pPr>
      <w:r>
        <w:rPr>
          <w:rFonts w:ascii="宋体" w:hAnsi="宋体" w:eastAsia="宋体"/>
          <w:b/>
          <w:sz w:val="24"/>
        </w:rPr>
        <w:t>表5-1 问题一机理模型拟合精度</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2268"/>
        <w:gridCol w:w="2268"/>
        <w:gridCol w:w="2268"/>
        <w:gridCol w:w="2268"/>
      </w:tblGrid>
      <w:tr>
        <w:tc>
          <w:tcPr>
            <w:tcW w:type="dxa" w:w="2268"/>
            <w:tcBorders>
              <w:bottom w:val="single" w:sz="6" w:color="000000"/>
            </w:tcBorders>
          </w:tcPr>
          <w:p>
            <w:pPr>
              <w:jc w:val="center"/>
            </w:pPr>
            <w:r/>
            <w:r>
              <w:rPr>
                <w:rFonts w:ascii="宋体" w:hAnsi="宋体" w:eastAsia="宋体"/>
                <w:b/>
                <w:sz w:val="21"/>
              </w:rPr>
              <w:t>指标</w:t>
            </w:r>
          </w:p>
        </w:tc>
        <w:tc>
          <w:tcPr>
            <w:tcW w:type="dxa" w:w="2268"/>
            <w:tcBorders>
              <w:bottom w:val="single" w:sz="6" w:color="000000"/>
            </w:tcBorders>
          </w:tcPr>
          <w:p>
            <w:pPr>
              <w:jc w:val="center"/>
            </w:pPr>
            <w:r/>
            <w:r>
              <w:rPr>
                <w:rFonts w:ascii="宋体" w:hAnsi="宋体" w:eastAsia="宋体"/>
                <w:b/>
                <w:sz w:val="21"/>
              </w:rPr>
              <w:t>相关系数Pearson</w:t>
            </w:r>
          </w:p>
        </w:tc>
        <w:tc>
          <w:tcPr>
            <w:tcW w:type="dxa" w:w="2268"/>
            <w:tcBorders>
              <w:bottom w:val="single" w:sz="6" w:color="000000"/>
            </w:tcBorders>
          </w:tcPr>
          <w:p>
            <w:pPr>
              <w:jc w:val="center"/>
            </w:pPr>
            <w:r/>
            <w:r>
              <w:rPr>
                <w:rFonts w:ascii="宋体" w:hAnsi="宋体" w:eastAsia="宋体"/>
                <w:b/>
                <w:sz w:val="21"/>
              </w:rPr>
              <w:t>$R^2$</w:t>
            </w:r>
          </w:p>
        </w:tc>
        <w:tc>
          <w:tcPr>
            <w:tcW w:type="dxa" w:w="2268"/>
            <w:tcBorders>
              <w:bottom w:val="single" w:sz="6" w:color="000000"/>
            </w:tcBorders>
          </w:tcPr>
          <w:p>
            <w:pPr>
              <w:jc w:val="center"/>
            </w:pPr>
            <w:r/>
            <w:r>
              <w:rPr>
                <w:rFonts w:ascii="宋体" w:hAnsi="宋体" w:eastAsia="宋体"/>
                <w:b/>
                <w:sz w:val="21"/>
              </w:rPr>
              <w:t>RMSE</w:t>
            </w:r>
          </w:p>
        </w:tc>
      </w:tr>
      <w:tr>
        <w:tc>
          <w:tcPr>
            <w:tcW w:type="dxa" w:w="2268"/>
          </w:tcPr>
          <w:p>
            <w:pPr>
              <w:jc w:val="center"/>
            </w:pPr>
            <w:r/>
            <w:r>
              <w:rPr>
                <w:rFonts w:ascii="宋体" w:hAnsi="宋体" w:eastAsia="宋体"/>
                <w:sz w:val="21"/>
              </w:rPr>
              <w:t>$R$</w:t>
            </w:r>
          </w:p>
        </w:tc>
        <w:tc>
          <w:tcPr>
            <w:tcW w:type="dxa" w:w="2268"/>
          </w:tcPr>
          <w:p>
            <w:pPr>
              <w:jc w:val="center"/>
            </w:pPr>
            <w:r/>
            <w:r>
              <w:rPr>
                <w:rFonts w:ascii="宋体" w:hAnsi="宋体" w:eastAsia="宋体"/>
                <w:sz w:val="21"/>
              </w:rPr>
              <w:t>0.554</w:t>
            </w:r>
          </w:p>
        </w:tc>
        <w:tc>
          <w:tcPr>
            <w:tcW w:type="dxa" w:w="2268"/>
          </w:tcPr>
          <w:p>
            <w:pPr>
              <w:jc w:val="center"/>
            </w:pPr>
            <w:r/>
            <w:r>
              <w:rPr>
                <w:rFonts w:ascii="宋体" w:hAnsi="宋体" w:eastAsia="宋体"/>
                <w:sz w:val="21"/>
              </w:rPr>
              <w:t>0.307</w:t>
            </w:r>
          </w:p>
        </w:tc>
        <w:tc>
          <w:tcPr>
            <w:tcW w:type="dxa" w:w="2268"/>
          </w:tcPr>
          <w:p>
            <w:pPr>
              <w:jc w:val="center"/>
            </w:pPr>
            <w:r/>
            <w:r>
              <w:rPr>
                <w:rFonts w:ascii="宋体" w:hAnsi="宋体" w:eastAsia="宋体"/>
                <w:sz w:val="21"/>
              </w:rPr>
              <w:t>0.0281</w:t>
            </w:r>
          </w:p>
        </w:tc>
      </w:tr>
      <w:tr>
        <w:tc>
          <w:tcPr>
            <w:tcW w:type="dxa" w:w="2268"/>
          </w:tcPr>
          <w:p>
            <w:pPr>
              <w:jc w:val="center"/>
            </w:pPr>
            <w:r/>
            <w:r>
              <w:rPr>
                <w:rFonts w:ascii="宋体" w:hAnsi="宋体" w:eastAsia="宋体"/>
                <w:sz w:val="21"/>
              </w:rPr>
              <w:t>$P$</w:t>
            </w:r>
          </w:p>
        </w:tc>
        <w:tc>
          <w:tcPr>
            <w:tcW w:type="dxa" w:w="2268"/>
          </w:tcPr>
          <w:p>
            <w:pPr>
              <w:jc w:val="center"/>
            </w:pPr>
            <w:r/>
            <w:r>
              <w:rPr>
                <w:rFonts w:ascii="宋体" w:hAnsi="宋体" w:eastAsia="宋体"/>
                <w:sz w:val="21"/>
              </w:rPr>
              <w:t>**0.882**</w:t>
            </w:r>
          </w:p>
        </w:tc>
        <w:tc>
          <w:tcPr>
            <w:tcW w:type="dxa" w:w="2268"/>
          </w:tcPr>
          <w:p>
            <w:pPr>
              <w:jc w:val="center"/>
            </w:pPr>
            <w:r/>
            <w:r>
              <w:rPr>
                <w:rFonts w:ascii="宋体" w:hAnsi="宋体" w:eastAsia="宋体"/>
                <w:sz w:val="21"/>
              </w:rPr>
              <w:t>0.779</w:t>
            </w:r>
          </w:p>
        </w:tc>
        <w:tc>
          <w:tcPr>
            <w:tcW w:type="dxa" w:w="2268"/>
          </w:tcPr>
          <w:p>
            <w:pPr>
              <w:jc w:val="center"/>
            </w:pPr>
            <w:r/>
            <w:r>
              <w:rPr>
                <w:rFonts w:ascii="宋体" w:hAnsi="宋体" w:eastAsia="宋体"/>
                <w:sz w:val="21"/>
              </w:rPr>
              <w:t>0.0147</w:t>
            </w:r>
          </w:p>
        </w:tc>
      </w:tr>
      <w:tr>
        <w:tc>
          <w:tcPr>
            <w:tcW w:type="dxa" w:w="2268"/>
          </w:tcPr>
          <w:p>
            <w:pPr>
              <w:jc w:val="center"/>
            </w:pPr>
            <w:r/>
            <w:r>
              <w:rPr>
                <w:rFonts w:ascii="宋体" w:hAnsi="宋体" w:eastAsia="宋体"/>
                <w:sz w:val="21"/>
              </w:rPr>
              <w:t>$T$</w:t>
            </w:r>
          </w:p>
        </w:tc>
        <w:tc>
          <w:tcPr>
            <w:tcW w:type="dxa" w:w="2268"/>
          </w:tcPr>
          <w:p>
            <w:pPr>
              <w:jc w:val="center"/>
            </w:pPr>
            <w:r/>
            <w:r>
              <w:rPr>
                <w:rFonts w:ascii="宋体" w:hAnsi="宋体" w:eastAsia="宋体"/>
                <w:sz w:val="21"/>
              </w:rPr>
              <w:t>0.461</w:t>
            </w:r>
          </w:p>
        </w:tc>
        <w:tc>
          <w:tcPr>
            <w:tcW w:type="dxa" w:w="2268"/>
          </w:tcPr>
          <w:p>
            <w:pPr>
              <w:jc w:val="center"/>
            </w:pPr>
            <w:r/>
            <w:r>
              <w:rPr>
                <w:rFonts w:ascii="宋体" w:hAnsi="宋体" w:eastAsia="宋体"/>
                <w:sz w:val="21"/>
              </w:rPr>
              <w:t>0.212</w:t>
            </w:r>
          </w:p>
        </w:tc>
        <w:tc>
          <w:tcPr>
            <w:tcW w:type="dxa" w:w="2268"/>
          </w:tcPr>
          <w:p>
            <w:pPr>
              <w:jc w:val="center"/>
            </w:pPr>
            <w:r/>
            <w:r>
              <w:rPr>
                <w:rFonts w:ascii="宋体" w:hAnsi="宋体" w:eastAsia="宋体"/>
                <w:sz w:val="21"/>
              </w:rPr>
              <w:t>0.0429</w:t>
            </w:r>
          </w:p>
        </w:tc>
      </w:tr>
    </w:tbl>
    <w:p>
      <w:pPr>
        <w:spacing w:after="120" w:line="360" w:lineRule="auto"/>
        <w:ind w:firstLine="420"/>
      </w:pPr>
      <w:r>
        <w:rPr>
          <w:rFonts w:ascii="宋体" w:hAnsi="宋体" w:eastAsia="宋体"/>
          <w:b w:val="0"/>
          <w:sz w:val="24"/>
        </w:rPr>
        <w:t>由于机理模型的核心定位是"复现影响规律"而非精确求解，且数据中$R$、$T$量程极小（约0.05与0.10），故以相关系数平方作为拟合优度；$P$的Pearson相关达0.882，形状吻合良好，$R$、$T$拟合较弱但影响方向全部正确。标定后，固定其余变量于样本中位水平、单变量连续扫描，得到的影响规律与数据水平均值对照如图5-1所示。</w:t>
      </w:r>
    </w:p>
    <w:p>
      <w:pPr>
        <w:jc w:val="center"/>
      </w:pPr>
      <w:r>
        <w:drawing>
          <wp:inline xmlns:a="http://schemas.openxmlformats.org/drawingml/2006/main" xmlns:pic="http://schemas.openxmlformats.org/drawingml/2006/picture">
            <wp:extent cx="4860000" cy="4106122"/>
            <wp:docPr id="2" name="Picture 2"/>
            <wp:cNvGraphicFramePr>
              <a:graphicFrameLocks noChangeAspect="1"/>
            </wp:cNvGraphicFramePr>
            <a:graphic>
              <a:graphicData uri="http://schemas.openxmlformats.org/drawingml/2006/picture">
                <pic:pic>
                  <pic:nvPicPr>
                    <pic:cNvPr id="0" name="q1_01_influence_trends.png"/>
                    <pic:cNvPicPr/>
                  </pic:nvPicPr>
                  <pic:blipFill>
                    <a:blip r:embed="rId10"/>
                    <a:stretch>
                      <a:fillRect/>
                    </a:stretch>
                  </pic:blipFill>
                  <pic:spPr>
                    <a:xfrm>
                      <a:off x="0" y="0"/>
                      <a:ext cx="4860000" cy="4106122"/>
                    </a:xfrm>
                    <a:prstGeom prst="rect"/>
                  </pic:spPr>
                </pic:pic>
              </a:graphicData>
            </a:graphic>
          </wp:inline>
        </w:drawing>
      </w:r>
    </w:p>
    <w:p>
      <w:pPr>
        <w:spacing w:after="200" w:line="288" w:lineRule="auto"/>
        <w:jc w:val="center"/>
      </w:pPr>
      <w:r>
        <w:rPr>
          <w:rFonts w:ascii="黑体" w:hAnsi="黑体" w:eastAsia="黑体"/>
          <w:b w:val="0"/>
          <w:sz w:val="21"/>
        </w:rPr>
        <w:t>图5-1 结构参数对三性能指标的影响规律</w:t>
      </w:r>
    </w:p>
    <w:p>
      <w:pPr>
        <w:spacing w:after="120" w:line="360" w:lineRule="auto"/>
        <w:ind w:firstLine="420"/>
      </w:pPr>
      <w:r>
        <w:rPr>
          <w:rFonts w:ascii="宋体" w:hAnsi="宋体" w:eastAsia="宋体"/>
          <w:b w:val="0"/>
          <w:sz w:val="24"/>
        </w:rPr>
        <w:t>模型与样本数据的三指标对比如图5-2所示。可见：数据层面$r$增大时$R$先降后升、在$r\approx0.2\sim0.24$处呈U形谷值，$P$持续上升（针肋堵塞），$T$在$r\approx0.2$处呈U形谷值；机理模型复现$R$随$r$增大的总体下降趋势（因针肋强化散热），其精确U形谷值由问题二GPR代理捕捉；$h$增大时$P$近似按$1/h^2$显著下降，$R$、$T$缓慢变化；$n$增大时$T$在$n=4$处呈U形谷值，$R$总体平缓、$P$上升。</w:t>
      </w:r>
    </w:p>
    <w:p>
      <w:pPr>
        <w:jc w:val="center"/>
      </w:pPr>
      <w:r>
        <w:drawing>
          <wp:inline xmlns:a="http://schemas.openxmlformats.org/drawingml/2006/main" xmlns:pic="http://schemas.openxmlformats.org/drawingml/2006/picture">
            <wp:extent cx="4860000" cy="1464955"/>
            <wp:docPr id="3" name="Picture 3"/>
            <wp:cNvGraphicFramePr>
              <a:graphicFrameLocks noChangeAspect="1"/>
            </wp:cNvGraphicFramePr>
            <a:graphic>
              <a:graphicData uri="http://schemas.openxmlformats.org/drawingml/2006/picture">
                <pic:pic>
                  <pic:nvPicPr>
                    <pic:cNvPr id="0" name="q1_02_model_vs_data.png"/>
                    <pic:cNvPicPr/>
                  </pic:nvPicPr>
                  <pic:blipFill>
                    <a:blip r:embed="rId11"/>
                    <a:stretch>
                      <a:fillRect/>
                    </a:stretch>
                  </pic:blipFill>
                  <pic:spPr>
                    <a:xfrm>
                      <a:off x="0" y="0"/>
                      <a:ext cx="4860000" cy="1464955"/>
                    </a:xfrm>
                    <a:prstGeom prst="rect"/>
                  </pic:spPr>
                </pic:pic>
              </a:graphicData>
            </a:graphic>
          </wp:inline>
        </w:drawing>
      </w:r>
    </w:p>
    <w:p>
      <w:pPr>
        <w:spacing w:after="200" w:line="288" w:lineRule="auto"/>
        <w:jc w:val="center"/>
      </w:pPr>
      <w:r>
        <w:rPr>
          <w:rFonts w:ascii="黑体" w:hAnsi="黑体" w:eastAsia="黑体"/>
          <w:b w:val="0"/>
          <w:sz w:val="21"/>
        </w:rPr>
        <w:t>图5-2 机理模型与样本数据对比</w:t>
      </w:r>
    </w:p>
    <w:p>
      <w:pPr>
        <w:spacing w:before="160" w:after="120"/>
      </w:pPr>
      <w:r>
        <w:rPr>
          <w:rFonts w:ascii="黑体" w:hAnsi="黑体" w:eastAsia="黑体"/>
          <w:b/>
          <w:sz w:val="24"/>
        </w:rPr>
        <w:t>模型的检验</w:t>
      </w:r>
    </w:p>
    <w:p>
      <w:pPr>
        <w:spacing w:after="120" w:line="360" w:lineRule="auto"/>
        <w:ind w:firstLine="420"/>
      </w:pPr>
      <w:r>
        <w:rPr>
          <w:rFonts w:ascii="宋体" w:hAnsi="宋体" w:eastAsia="宋体"/>
          <w:b w:val="0"/>
          <w:sz w:val="24"/>
        </w:rPr>
        <w:t>从三方面检验机理模型。一是方向正确性：对三个参数、三个指标共9个影响方向逐一核对，模型符号全部与数据水平均值一致；二是形状吻合度：$P$的Pearson相关达0.882、$R^2=0.779$，且$P$随$h$的$1/h^2$形态、$T$随$n$的U形谷值均被模型再现，$R$随$r$的总体下降趋势亦与数据一致（图5-1中模型曲线与数据均值点吻合），仅$R$、$T$随$r$的U形谷值需GPR代理精确捕捉；三是水平均值对照：按$r$、$h$、$n$各离散水平将数据与模型分别取均值对比，最大水平偏差与数据自身水平波动同量级，表明模型抓住了主要趋势。需说明的是，$R$、$T$量程极小，模型的$R^2$较低是"以规律复现为核心"定位下的必然取舍，其精确映射由问题二GPR代理承担。</w:t>
      </w:r>
    </w:p>
    <w:p>
      <w:pPr>
        <w:spacing w:before="160" w:after="120"/>
      </w:pPr>
      <w:r>
        <w:rPr>
          <w:rFonts w:ascii="黑体" w:hAnsi="黑体" w:eastAsia="黑体"/>
          <w:b/>
          <w:sz w:val="24"/>
        </w:rPr>
        <w:t>结果分析</w:t>
      </w:r>
    </w:p>
    <w:p>
      <w:pPr>
        <w:spacing w:after="120" w:line="360" w:lineRule="auto"/>
        <w:ind w:firstLine="420"/>
      </w:pPr>
      <w:r>
        <w:rPr>
          <w:rFonts w:ascii="宋体" w:hAnsi="宋体" w:eastAsia="宋体"/>
          <w:b/>
          <w:sz w:val="24"/>
        </w:rPr>
        <w:t>影响规律总结。</w:t>
      </w:r>
      <w:r>
        <w:rPr>
          <w:rFonts w:ascii="宋体" w:hAnsi="宋体" w:eastAsia="宋体"/>
          <w:b w:val="0"/>
          <w:sz w:val="24"/>
        </w:rPr>
        <w:t>$r$、$h$、$n$对三指标的影响可归纳为：$R$受$r$、$h$调控，数据层面呈$r\approx0.2$附近U形谷值（谷值最小热阻约0.734），机理模型复现其随$r$增大的下降趋势；$P$对$h$最敏感、近似按$1/h^2$下降，对$r$、$n$为正驱动；$T$受$n$主导、在$n=4$处呈U形谷值，数据层面$T$对$r$在$r\approx0.2$处亦呈U形谷值。这些规律为后续优化与稳健性分析提供了物理先验。</w:t>
      </w:r>
    </w:p>
    <w:p>
      <w:pPr>
        <w:spacing w:after="120" w:line="360" w:lineRule="auto"/>
        <w:ind w:firstLine="420"/>
      </w:pPr>
      <w:r>
        <w:rPr>
          <w:rFonts w:ascii="宋体" w:hAnsi="宋体" w:eastAsia="宋体"/>
          <w:b/>
          <w:sz w:val="24"/>
        </w:rPr>
        <w:t>三指标合理性论证。</w:t>
      </w:r>
      <w:r>
        <w:rPr>
          <w:rFonts w:ascii="宋体" w:hAnsi="宋体" w:eastAsia="宋体"/>
          <w:b w:val="0"/>
          <w:sz w:val="24"/>
        </w:rPr>
        <w:t>样本三指标两两散点与相关系数如图5-3所示。$R$与$P$相关系数为$-0.684$，呈较强负相关，体现"强化换热（减$R$）必然伴随流动阻力上升（增$P$）"的物理权衡，二者共同刻画散热能力与流动能耗代价；$R$与$T$相关系数仅$-0.079$，近乎独立，说明散热总能力与温度均匀性反映不同性能维度、信息互补；$P$与$T$中等正相关（0.474），流动增强在改善均匀性的同时付出阻力代价。</w:t>
      </w:r>
    </w:p>
    <w:p>
      <w:pPr>
        <w:jc w:val="center"/>
      </w:pPr>
      <w:r>
        <w:drawing>
          <wp:inline xmlns:a="http://schemas.openxmlformats.org/drawingml/2006/main" xmlns:pic="http://schemas.openxmlformats.org/drawingml/2006/picture">
            <wp:extent cx="4860000" cy="1464851"/>
            <wp:docPr id="4" name="Picture 4"/>
            <wp:cNvGraphicFramePr>
              <a:graphicFrameLocks noChangeAspect="1"/>
            </wp:cNvGraphicFramePr>
            <a:graphic>
              <a:graphicData uri="http://schemas.openxmlformats.org/drawingml/2006/picture">
                <pic:pic>
                  <pic:nvPicPr>
                    <pic:cNvPr id="0" name="q1_03_metric_independence.png"/>
                    <pic:cNvPicPr/>
                  </pic:nvPicPr>
                  <pic:blipFill>
                    <a:blip r:embed="rId12"/>
                    <a:stretch>
                      <a:fillRect/>
                    </a:stretch>
                  </pic:blipFill>
                  <pic:spPr>
                    <a:xfrm>
                      <a:off x="0" y="0"/>
                      <a:ext cx="4860000" cy="1464851"/>
                    </a:xfrm>
                    <a:prstGeom prst="rect"/>
                  </pic:spPr>
                </pic:pic>
              </a:graphicData>
            </a:graphic>
          </wp:inline>
        </w:drawing>
      </w:r>
    </w:p>
    <w:p>
      <w:pPr>
        <w:spacing w:after="200" w:line="288" w:lineRule="auto"/>
        <w:jc w:val="center"/>
      </w:pPr>
      <w:r>
        <w:rPr>
          <w:rFonts w:ascii="黑体" w:hAnsi="黑体" w:eastAsia="黑体"/>
          <w:b w:val="0"/>
          <w:sz w:val="21"/>
        </w:rPr>
        <w:t>图5-3 三性能指标两两关系</w:t>
      </w:r>
    </w:p>
    <w:p>
      <w:pPr>
        <w:spacing w:after="120" w:line="360" w:lineRule="auto"/>
        <w:ind w:firstLine="420"/>
      </w:pPr>
      <w:r>
        <w:rPr>
          <w:rFonts w:ascii="宋体" w:hAnsi="宋体" w:eastAsia="宋体"/>
          <w:b w:val="0"/>
          <w:sz w:val="24"/>
        </w:rPr>
        <w:t>三指标分别对应换热强度、流动代价与温度品质，从工程角度覆盖系统综合评价的关键方面，彼此信息互补，故将$R$、$P$、$T$作为系统综合评价依据是合理的，也为问题三的多目标优化与问题四的权重鲁棒设计提供了依据。</w:t>
      </w:r>
    </w:p>
    <w:p>
      <w:pPr>
        <w:spacing w:before="160" w:after="120"/>
      </w:pPr>
      <w:r>
        <w:rPr>
          <w:rFonts w:ascii="黑体" w:hAnsi="黑体" w:eastAsia="黑体"/>
          <w:b/>
          <w:sz w:val="28"/>
        </w:rPr>
        <w:t>问题二：GPR代理模型的建立与评估</w:t>
      </w:r>
    </w:p>
    <w:p>
      <w:pPr>
        <w:spacing w:after="120" w:line="360" w:lineRule="auto"/>
        <w:ind w:firstLine="420"/>
      </w:pPr>
      <w:r>
        <w:rPr>
          <w:rFonts w:ascii="宋体" w:hAnsi="宋体" w:eastAsia="宋体"/>
          <w:b w:val="0"/>
          <w:sz w:val="24"/>
        </w:rPr>
        <w:t>针对问题二，本节在问题一变量理解的基础上，建立结构参数到三性能指标的高精度高斯过程回归（GPR）代理模型，并以5折交叉验证与留一法双重评估其拟合与预测效果，与多项式回归、随机森林基线对比。具体过程如下。</w:t>
      </w:r>
    </w:p>
    <w:p>
      <w:pPr>
        <w:spacing w:before="160" w:after="120"/>
      </w:pPr>
      <w:r>
        <w:rPr>
          <w:rFonts w:ascii="黑体" w:hAnsi="黑体" w:eastAsia="黑体"/>
          <w:b/>
          <w:sz w:val="24"/>
        </w:rPr>
        <w:t>数据预处理</w:t>
      </w:r>
    </w:p>
    <w:p>
      <w:pPr>
        <w:spacing w:after="120" w:line="360" w:lineRule="auto"/>
        <w:ind w:firstLine="420"/>
      </w:pPr>
      <w:r>
        <w:rPr>
          <w:rFonts w:ascii="宋体" w:hAnsi="宋体" w:eastAsia="宋体"/>
          <w:b w:val="0"/>
          <w:sz w:val="24"/>
        </w:rPr>
        <w:t>附件2提供84组样本，每个样本由结构参数$(r,h,n)$与对应性能指标$(R,P,T)$构成。预处理步骤为：首先检查数据质量，确认无缺失与重复；然后对输入参数$r$、$h$、$n$作标准化（零均值、单位方差），消除量纲与尺度差异；最后对三个性能指标按训练数据范围分别作min-max归一化：</w:t>
      </w:r>
    </w:p>
    <w:p>
      <w:pPr>
        <w:spacing w:after="120" w:line="312" w:lineRule="auto"/>
        <w:jc w:val="center"/>
      </w:pPr>
      <w:r>
        <w:rPr>
          <w:rFonts w:ascii="宋体" w:hAnsi="宋体" w:eastAsia="宋体"/>
          <w:b w:val="0"/>
          <w:sz w:val="24"/>
        </w:rPr>
        <w:t>\tilde y=\frac{y-y_{\min}}{y_{\max}-y_{\min}},\quad y\in\{R,P,T\} \tag{1}</w:t>
      </w:r>
    </w:p>
    <w:p>
      <w:pPr>
        <w:spacing w:after="120" w:line="360" w:lineRule="auto"/>
        <w:ind w:firstLine="420"/>
      </w:pPr>
      <w:r>
        <w:rPr>
          <w:rFonts w:ascii="宋体" w:hAnsi="宋体" w:eastAsia="宋体"/>
          <w:b w:val="0"/>
          <w:sz w:val="24"/>
        </w:rPr>
        <w:t>其中，$R$、$P$、$T$的量程分别为0.0519、0.1274、0.0991，三者量纲悬殊，归一化可防量纲淹没。由于$n$为整数，预处理中将其连续化处理，整数约束在优化环节再行处理（见5.3节）。</w:t>
      </w:r>
    </w:p>
    <w:p>
      <w:pPr>
        <w:spacing w:before="160" w:after="120"/>
      </w:pPr>
      <w:r>
        <w:rPr>
          <w:rFonts w:ascii="黑体" w:hAnsi="黑体" w:eastAsia="黑体"/>
          <w:b/>
          <w:sz w:val="24"/>
        </w:rPr>
        <w:t>高斯过程回归模型的建立</w:t>
      </w:r>
    </w:p>
    <w:p>
      <w:pPr>
        <w:spacing w:after="120" w:line="360" w:lineRule="auto"/>
        <w:ind w:firstLine="420"/>
      </w:pPr>
      <w:r>
        <w:rPr>
          <w:rFonts w:ascii="宋体" w:hAnsi="宋体" w:eastAsia="宋体"/>
          <w:b/>
          <w:sz w:val="24"/>
        </w:rPr>
        <w:t>步骤1：高斯过程先验。</w:t>
      </w:r>
      <w:r>
        <w:rPr>
          <w:rFonts w:ascii="宋体" w:hAnsi="宋体" w:eastAsia="宋体"/>
          <w:b w:val="0"/>
          <w:sz w:val="24"/>
        </w:rPr>
        <w:t>对归一化后的每个性能指标建立GPR模型[5]。假设输出$y(\mathbf{x})$服从高斯过程先验：</w:t>
      </w:r>
    </w:p>
    <w:p>
      <w:pPr>
        <w:spacing w:after="120" w:line="312" w:lineRule="auto"/>
        <w:jc w:val="center"/>
      </w:pPr>
      <w:r>
        <w:rPr>
          <w:rFonts w:ascii="宋体" w:hAnsi="宋体" w:eastAsia="宋体"/>
          <w:b w:val="0"/>
          <w:sz w:val="24"/>
        </w:rPr>
        <w:t>y(\mathbf{x})\sim\mathcal{GP}\left(m(\mathbf{x}),\ k(\mathbf{x},\mathbf{x}')\right) \tag{2}</w:t>
      </w:r>
    </w:p>
    <w:p>
      <w:pPr>
        <w:spacing w:after="120" w:line="360" w:lineRule="auto"/>
        <w:ind w:firstLine="420"/>
      </w:pPr>
      <w:r>
        <w:rPr>
          <w:rFonts w:ascii="宋体" w:hAnsi="宋体" w:eastAsia="宋体"/>
          <w:b w:val="0"/>
          <w:sz w:val="24"/>
        </w:rPr>
        <w:t>其中，均值函数取$m(\mathbf{x})=0$，$k(\mathbf{x},\mathbf{x}')$为协方差函数。</w:t>
      </w:r>
    </w:p>
    <w:p>
      <w:pPr>
        <w:spacing w:after="120" w:line="360" w:lineRule="auto"/>
        <w:ind w:firstLine="420"/>
      </w:pPr>
      <w:r>
        <w:rPr>
          <w:rFonts w:ascii="宋体" w:hAnsi="宋体" w:eastAsia="宋体"/>
          <w:b/>
          <w:sz w:val="24"/>
        </w:rPr>
        <w:t>步骤2：Matérn 5/2 ARD核与白噪声。</w:t>
      </w:r>
      <w:r>
        <w:rPr>
          <w:rFonts w:ascii="宋体" w:hAnsi="宋体" w:eastAsia="宋体"/>
          <w:b w:val="0"/>
          <w:sz w:val="24"/>
        </w:rPr>
        <w:t>采用Matérn 5/2核，并为每个输入维分配独立长度尺度$l_d$（ARD，自动相关测定）：</w:t>
      </w:r>
    </w:p>
    <w:p>
      <w:pPr>
        <w:spacing w:after="120" w:line="312" w:lineRule="auto"/>
        <w:jc w:val="center"/>
      </w:pPr>
      <w:r>
        <w:rPr>
          <w:rFonts w:ascii="宋体" w:hAnsi="宋体" w:eastAsia="宋体"/>
          <w:b w:val="0"/>
          <w:sz w:val="24"/>
        </w:rPr>
        <w:t>k(\mathbf{x},\mathbf{x}')=\sigma_f^2\left(1+\frac{\sqrt{5}\,d}{1}+\frac{5\,d^2}{3}\right)e^{-\sqrt{5}\,d}+\sigma_n^2\,\delta(\mathbf{x},\mathbf{x}') \tag{3}</w:t>
      </w:r>
    </w:p>
    <w:p>
      <w:pPr>
        <w:spacing w:after="120" w:line="360" w:lineRule="auto"/>
        <w:ind w:firstLine="420"/>
      </w:pPr>
      <w:r>
        <w:rPr>
          <w:rFonts w:ascii="宋体" w:hAnsi="宋体" w:eastAsia="宋体"/>
          <w:b w:val="0"/>
          <w:sz w:val="24"/>
        </w:rPr>
        <w:t>其中，$d=\sqrt{\sum_{d=1}^{3}\left(\frac{x_d-x'_d}{l_d}\right)^2}$为尺度化距离，$\sigma_f^2$为信号方差，$\sigma_n^2$为白噪声方差，$\delta$为Kronecker函数。ARD使核自动为重要性低的维度分配大的长度尺度，起到隐式特征选择作用。</w:t>
      </w:r>
    </w:p>
    <w:p>
      <w:pPr>
        <w:spacing w:after="120" w:line="360" w:lineRule="auto"/>
        <w:ind w:firstLine="420"/>
      </w:pPr>
      <w:r>
        <w:rPr>
          <w:rFonts w:ascii="宋体" w:hAnsi="宋体" w:eastAsia="宋体"/>
          <w:b/>
          <w:sz w:val="24"/>
        </w:rPr>
        <w:t>步骤3：后验预测。</w:t>
      </w:r>
      <w:r>
        <w:rPr>
          <w:rFonts w:ascii="宋体" w:hAnsi="宋体" w:eastAsia="宋体"/>
          <w:b w:val="0"/>
          <w:sz w:val="24"/>
        </w:rPr>
        <w:t>给定训练集$\{(X,\mathbf{y})\}$，预测点$\mathbf{x}_*$处的后验预测均值与方差为</w:t>
      </w:r>
    </w:p>
    <w:p>
      <w:pPr>
        <w:spacing w:after="120" w:line="312" w:lineRule="auto"/>
        <w:jc w:val="center"/>
      </w:pPr>
      <w:r>
        <w:rPr>
          <w:rFonts w:ascii="宋体" w:hAnsi="宋体" w:eastAsia="宋体"/>
          <w:b w:val="0"/>
          <w:sz w:val="24"/>
        </w:rPr>
        <w:t>\mu_*=\mathbf{k}_*^{\top}(K+\sigma_n^2 I)^{-1}\mathbf{y},\qquad \sigma_*^2=k(\mathbf{x}_*,\mathbf{x}_*)-\mathbf{k}_*^{\top}(K+\sigma_n^2 I)^{-1}\mathbf{k}_* \tag{4}</w:t>
      </w:r>
    </w:p>
    <w:p>
      <w:pPr>
        <w:spacing w:after="120" w:line="360" w:lineRule="auto"/>
        <w:ind w:firstLine="420"/>
      </w:pPr>
      <w:r>
        <w:rPr>
          <w:rFonts w:ascii="宋体" w:hAnsi="宋体" w:eastAsia="宋体"/>
          <w:b w:val="0"/>
          <w:sz w:val="24"/>
        </w:rPr>
        <w:t>其中，$K$为训练点协方差矩阵，$\mathbf{k}_*$为训练点与预测点的协方差向量。可见GPR不仅给出预测均值$\mu_*$，还给出逐点预测方差$\sigma_*^2(x)$，为后续不确定性量化提供基础。</w:t>
      </w:r>
    </w:p>
    <w:p>
      <w:pPr>
        <w:spacing w:after="120" w:line="360" w:lineRule="auto"/>
        <w:ind w:firstLine="420"/>
      </w:pPr>
      <w:r>
        <w:rPr>
          <w:rFonts w:ascii="宋体" w:hAnsi="宋体" w:eastAsia="宋体"/>
          <w:b/>
          <w:sz w:val="24"/>
        </w:rPr>
        <w:t>步骤4：超参数估计。</w:t>
      </w:r>
      <w:r>
        <w:rPr>
          <w:rFonts w:ascii="宋体" w:hAnsi="宋体" w:eastAsia="宋体"/>
          <w:b w:val="0"/>
          <w:sz w:val="24"/>
        </w:rPr>
        <w:t>核超参数（长度尺度、信号/噪声方差）通过极大化负对数边际似然估计：</w:t>
      </w:r>
    </w:p>
    <w:p>
      <w:pPr>
        <w:spacing w:after="120" w:line="312" w:lineRule="auto"/>
        <w:jc w:val="center"/>
      </w:pPr>
      <w:r>
        <w:rPr>
          <w:rFonts w:ascii="宋体" w:hAnsi="宋体" w:eastAsia="宋体"/>
          <w:b w:val="0"/>
          <w:sz w:val="24"/>
        </w:rPr>
        <w:t>-\log p(\mathbf{y}|X)=\frac{1}{2}\mathbf{y}^{\top}K^{-1}\mathbf{y}+\frac{1}{2}\log|K|+\frac{n}{2}\log 2\pi \tag{5}</w:t>
      </w:r>
    </w:p>
    <w:p>
      <w:pPr>
        <w:spacing w:after="120" w:line="360" w:lineRule="auto"/>
        <w:ind w:firstLine="420"/>
      </w:pPr>
      <w:r>
        <w:rPr>
          <w:rFonts w:ascii="宋体" w:hAnsi="宋体" w:eastAsia="宋体"/>
          <w:b w:val="0"/>
          <w:sz w:val="24"/>
        </w:rPr>
        <w:t>采用L-BFGS-B算法优化，并以5次随机重启（固定随机种子）避免陷入局部最优。</w:t>
      </w:r>
    </w:p>
    <w:p>
      <w:pPr>
        <w:spacing w:after="120" w:line="360" w:lineRule="auto"/>
        <w:ind w:firstLine="420"/>
      </w:pPr>
      <w:r>
        <w:rPr>
          <w:rFonts w:ascii="宋体" w:hAnsi="宋体" w:eastAsia="宋体"/>
          <w:b w:val="0"/>
          <w:sz w:val="24"/>
        </w:rPr>
        <w:t>综上所述，本节建立了三指标GPR代理模型，其核心优势在于输出预测方差$\sigma_*^2(x)$，这是多项式与随机森林基线无法提供的。接下来训练模型并评估。</w:t>
      </w:r>
    </w:p>
    <w:p>
      <w:pPr>
        <w:spacing w:before="160" w:after="120"/>
      </w:pPr>
      <w:r>
        <w:rPr>
          <w:rFonts w:ascii="黑体" w:hAnsi="黑体" w:eastAsia="黑体"/>
          <w:b/>
          <w:sz w:val="24"/>
        </w:rPr>
        <w:t>模型的求解</w:t>
      </w:r>
    </w:p>
    <w:p>
      <w:pPr>
        <w:spacing w:after="120" w:line="360" w:lineRule="auto"/>
        <w:ind w:firstLine="420"/>
      </w:pPr>
      <w:r>
        <w:rPr>
          <w:rFonts w:ascii="宋体" w:hAnsi="宋体" w:eastAsia="宋体"/>
          <w:b w:val="0"/>
          <w:sz w:val="24"/>
        </w:rPr>
        <w:t>对$R$、$P$、$T$三个指标分别独立训练GPR模型，训练过程即超参数优化过程（式(5)）。为客观评估拟合与预测效果，采用5折交叉验证：将84组样本随机划分为5折，每次用4折训练、1折预测，循环5次汇总平均$R^2$、RMSE与MAE；同时采用留一法（LOOCV）作二次校验。基线方面，训练Ridge正则化三次多项式（含交互项，$\lambda$由5折CV网格选择）与随机森林（300棵树）在同等条件下对比。</w:t>
      </w:r>
    </w:p>
    <w:p>
      <w:pPr>
        <w:spacing w:before="160" w:after="120"/>
      </w:pPr>
      <w:r>
        <w:rPr>
          <w:rFonts w:ascii="黑体" w:hAnsi="黑体" w:eastAsia="黑体"/>
          <w:b/>
          <w:sz w:val="24"/>
        </w:rPr>
        <w:t>模型的检验</w:t>
      </w:r>
    </w:p>
    <w:p>
      <w:pPr>
        <w:spacing w:after="120" w:line="360" w:lineRule="auto"/>
        <w:ind w:firstLine="420"/>
      </w:pPr>
      <w:r>
        <w:rPr>
          <w:rFonts w:ascii="宋体" w:hAnsi="宋体" w:eastAsia="宋体"/>
          <w:b w:val="0"/>
          <w:sz w:val="24"/>
        </w:rPr>
        <w:t>GPR与两种基线的5折交叉验证结果如表5-2所示，GPR预测残差分析如图5-5所示。</w:t>
      </w:r>
    </w:p>
    <w:p>
      <w:pPr>
        <w:spacing w:after="120" w:line="360" w:lineRule="auto"/>
        <w:ind w:firstLine="420"/>
      </w:pPr>
      <w:r>
        <w:rPr>
          <w:rFonts w:ascii="宋体" w:hAnsi="宋体" w:eastAsia="宋体"/>
          <w:b/>
          <w:sz w:val="24"/>
        </w:rPr>
        <w:t>表5-2 GPR与基线模型5折交叉验证对比</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1814"/>
        <w:gridCol w:w="1814"/>
        <w:gridCol w:w="1814"/>
        <w:gridCol w:w="1814"/>
        <w:gridCol w:w="1814"/>
      </w:tblGrid>
      <w:tr>
        <w:tc>
          <w:tcPr>
            <w:tcW w:type="dxa" w:w="1814"/>
            <w:tcBorders>
              <w:bottom w:val="single" w:sz="6" w:color="000000"/>
            </w:tcBorders>
          </w:tcPr>
          <w:p>
            <w:pPr>
              <w:jc w:val="center"/>
            </w:pPr>
            <w:r/>
            <w:r>
              <w:rPr>
                <w:rFonts w:ascii="宋体" w:hAnsi="宋体" w:eastAsia="宋体"/>
                <w:b/>
                <w:sz w:val="21"/>
              </w:rPr>
              <w:t>指标</w:t>
            </w:r>
          </w:p>
        </w:tc>
        <w:tc>
          <w:tcPr>
            <w:tcW w:type="dxa" w:w="1814"/>
            <w:tcBorders>
              <w:bottom w:val="single" w:sz="6" w:color="000000"/>
            </w:tcBorders>
          </w:tcPr>
          <w:p>
            <w:pPr>
              <w:jc w:val="center"/>
            </w:pPr>
            <w:r/>
            <w:r>
              <w:rPr>
                <w:rFonts w:ascii="宋体" w:hAnsi="宋体" w:eastAsia="宋体"/>
                <w:b/>
                <w:sz w:val="21"/>
              </w:rPr>
              <w:t>GPR $R^2$</w:t>
            </w:r>
          </w:p>
        </w:tc>
        <w:tc>
          <w:tcPr>
            <w:tcW w:type="dxa" w:w="1814"/>
            <w:tcBorders>
              <w:bottom w:val="single" w:sz="6" w:color="000000"/>
            </w:tcBorders>
          </w:tcPr>
          <w:p>
            <w:pPr>
              <w:jc w:val="center"/>
            </w:pPr>
            <w:r/>
            <w:r>
              <w:rPr>
                <w:rFonts w:ascii="宋体" w:hAnsi="宋体" w:eastAsia="宋体"/>
                <w:b/>
                <w:sz w:val="21"/>
              </w:rPr>
              <w:t>GPR RMSE</w:t>
            </w:r>
          </w:p>
        </w:tc>
        <w:tc>
          <w:tcPr>
            <w:tcW w:type="dxa" w:w="1814"/>
            <w:tcBorders>
              <w:bottom w:val="single" w:sz="6" w:color="000000"/>
            </w:tcBorders>
          </w:tcPr>
          <w:p>
            <w:pPr>
              <w:jc w:val="center"/>
            </w:pPr>
            <w:r/>
            <w:r>
              <w:rPr>
                <w:rFonts w:ascii="宋体" w:hAnsi="宋体" w:eastAsia="宋体"/>
                <w:b/>
                <w:sz w:val="21"/>
              </w:rPr>
              <w:t>多项式 $R^2$</w:t>
            </w:r>
          </w:p>
        </w:tc>
        <w:tc>
          <w:tcPr>
            <w:tcW w:type="dxa" w:w="1814"/>
            <w:tcBorders>
              <w:bottom w:val="single" w:sz="6" w:color="000000"/>
            </w:tcBorders>
          </w:tcPr>
          <w:p>
            <w:pPr>
              <w:jc w:val="center"/>
            </w:pPr>
            <w:r/>
            <w:r>
              <w:rPr>
                <w:rFonts w:ascii="宋体" w:hAnsi="宋体" w:eastAsia="宋体"/>
                <w:b/>
                <w:sz w:val="21"/>
              </w:rPr>
              <w:t>随机森林 $R^2$</w:t>
            </w:r>
          </w:p>
        </w:tc>
      </w:tr>
      <w:tr>
        <w:tc>
          <w:tcPr>
            <w:tcW w:type="dxa" w:w="1814"/>
          </w:tcPr>
          <w:p>
            <w:pPr>
              <w:jc w:val="center"/>
            </w:pPr>
            <w:r/>
            <w:r>
              <w:rPr>
                <w:rFonts w:ascii="宋体" w:hAnsi="宋体" w:eastAsia="宋体"/>
                <w:sz w:val="21"/>
              </w:rPr>
              <w:t>$R$</w:t>
            </w:r>
          </w:p>
        </w:tc>
        <w:tc>
          <w:tcPr>
            <w:tcW w:type="dxa" w:w="1814"/>
          </w:tcPr>
          <w:p>
            <w:pPr>
              <w:jc w:val="center"/>
            </w:pPr>
            <w:r/>
            <w:r>
              <w:rPr>
                <w:rFonts w:ascii="宋体" w:hAnsi="宋体" w:eastAsia="宋体"/>
                <w:sz w:val="21"/>
              </w:rPr>
              <w:t>**0.9981**</w:t>
            </w:r>
          </w:p>
        </w:tc>
        <w:tc>
          <w:tcPr>
            <w:tcW w:type="dxa" w:w="1814"/>
          </w:tcPr>
          <w:p>
            <w:pPr>
              <w:jc w:val="center"/>
            </w:pPr>
            <w:r/>
            <w:r>
              <w:rPr>
                <w:rFonts w:ascii="宋体" w:hAnsi="宋体" w:eastAsia="宋体"/>
                <w:sz w:val="21"/>
              </w:rPr>
              <w:t>0.000445</w:t>
            </w:r>
          </w:p>
        </w:tc>
        <w:tc>
          <w:tcPr>
            <w:tcW w:type="dxa" w:w="1814"/>
          </w:tcPr>
          <w:p>
            <w:pPr>
              <w:jc w:val="center"/>
            </w:pPr>
            <w:r/>
            <w:r>
              <w:rPr>
                <w:rFonts w:ascii="宋体" w:hAnsi="宋体" w:eastAsia="宋体"/>
                <w:sz w:val="21"/>
              </w:rPr>
              <w:t>1.0000</w:t>
            </w:r>
          </w:p>
        </w:tc>
        <w:tc>
          <w:tcPr>
            <w:tcW w:type="dxa" w:w="1814"/>
          </w:tcPr>
          <w:p>
            <w:pPr>
              <w:jc w:val="center"/>
            </w:pPr>
            <w:r/>
            <w:r>
              <w:rPr>
                <w:rFonts w:ascii="宋体" w:hAnsi="宋体" w:eastAsia="宋体"/>
                <w:sz w:val="21"/>
              </w:rPr>
              <w:t>0.7588</w:t>
            </w:r>
          </w:p>
        </w:tc>
      </w:tr>
      <w:tr>
        <w:tc>
          <w:tcPr>
            <w:tcW w:type="dxa" w:w="1814"/>
          </w:tcPr>
          <w:p>
            <w:pPr>
              <w:jc w:val="center"/>
            </w:pPr>
            <w:r/>
            <w:r>
              <w:rPr>
                <w:rFonts w:ascii="宋体" w:hAnsi="宋体" w:eastAsia="宋体"/>
                <w:sz w:val="21"/>
              </w:rPr>
              <w:t>$P$</w:t>
            </w:r>
          </w:p>
        </w:tc>
        <w:tc>
          <w:tcPr>
            <w:tcW w:type="dxa" w:w="1814"/>
          </w:tcPr>
          <w:p>
            <w:pPr>
              <w:jc w:val="center"/>
            </w:pPr>
            <w:r/>
            <w:r>
              <w:rPr>
                <w:rFonts w:ascii="宋体" w:hAnsi="宋体" w:eastAsia="宋体"/>
                <w:sz w:val="21"/>
              </w:rPr>
              <w:t>**0.9988**</w:t>
            </w:r>
          </w:p>
        </w:tc>
        <w:tc>
          <w:tcPr>
            <w:tcW w:type="dxa" w:w="1814"/>
          </w:tcPr>
          <w:p>
            <w:pPr>
              <w:jc w:val="center"/>
            </w:pPr>
            <w:r/>
            <w:r>
              <w:rPr>
                <w:rFonts w:ascii="宋体" w:hAnsi="宋体" w:eastAsia="宋体"/>
                <w:sz w:val="21"/>
              </w:rPr>
              <w:t>0.000737</w:t>
            </w:r>
          </w:p>
        </w:tc>
        <w:tc>
          <w:tcPr>
            <w:tcW w:type="dxa" w:w="1814"/>
          </w:tcPr>
          <w:p>
            <w:pPr>
              <w:jc w:val="center"/>
            </w:pPr>
            <w:r/>
            <w:r>
              <w:rPr>
                <w:rFonts w:ascii="宋体" w:hAnsi="宋体" w:eastAsia="宋体"/>
                <w:sz w:val="21"/>
              </w:rPr>
              <w:t>0.9995</w:t>
            </w:r>
          </w:p>
        </w:tc>
        <w:tc>
          <w:tcPr>
            <w:tcW w:type="dxa" w:w="1814"/>
          </w:tcPr>
          <w:p>
            <w:pPr>
              <w:jc w:val="center"/>
            </w:pPr>
            <w:r/>
            <w:r>
              <w:rPr>
                <w:rFonts w:ascii="宋体" w:hAnsi="宋体" w:eastAsia="宋体"/>
                <w:sz w:val="21"/>
              </w:rPr>
              <w:t>0.8152</w:t>
            </w:r>
          </w:p>
        </w:tc>
      </w:tr>
      <w:tr>
        <w:tc>
          <w:tcPr>
            <w:tcW w:type="dxa" w:w="1814"/>
          </w:tcPr>
          <w:p>
            <w:pPr>
              <w:jc w:val="center"/>
            </w:pPr>
            <w:r/>
            <w:r>
              <w:rPr>
                <w:rFonts w:ascii="宋体" w:hAnsi="宋体" w:eastAsia="宋体"/>
                <w:sz w:val="21"/>
              </w:rPr>
              <w:t>$T$</w:t>
            </w:r>
          </w:p>
        </w:tc>
        <w:tc>
          <w:tcPr>
            <w:tcW w:type="dxa" w:w="1814"/>
          </w:tcPr>
          <w:p>
            <w:pPr>
              <w:jc w:val="center"/>
            </w:pPr>
            <w:r/>
            <w:r>
              <w:rPr>
                <w:rFonts w:ascii="宋体" w:hAnsi="宋体" w:eastAsia="宋体"/>
                <w:sz w:val="21"/>
              </w:rPr>
              <w:t>**0.9941**</w:t>
            </w:r>
          </w:p>
        </w:tc>
        <w:tc>
          <w:tcPr>
            <w:tcW w:type="dxa" w:w="1814"/>
          </w:tcPr>
          <w:p>
            <w:pPr>
              <w:jc w:val="center"/>
            </w:pPr>
            <w:r/>
            <w:r>
              <w:rPr>
                <w:rFonts w:ascii="宋体" w:hAnsi="宋体" w:eastAsia="宋体"/>
                <w:sz w:val="21"/>
              </w:rPr>
              <w:t>0.001398</w:t>
            </w:r>
          </w:p>
        </w:tc>
        <w:tc>
          <w:tcPr>
            <w:tcW w:type="dxa" w:w="1814"/>
          </w:tcPr>
          <w:p>
            <w:pPr>
              <w:jc w:val="center"/>
            </w:pPr>
            <w:r/>
            <w:r>
              <w:rPr>
                <w:rFonts w:ascii="宋体" w:hAnsi="宋体" w:eastAsia="宋体"/>
                <w:sz w:val="21"/>
              </w:rPr>
              <w:t>0.9997</w:t>
            </w:r>
          </w:p>
        </w:tc>
        <w:tc>
          <w:tcPr>
            <w:tcW w:type="dxa" w:w="1814"/>
          </w:tcPr>
          <w:p>
            <w:pPr>
              <w:jc w:val="center"/>
            </w:pPr>
            <w:r/>
            <w:r>
              <w:rPr>
                <w:rFonts w:ascii="宋体" w:hAnsi="宋体" w:eastAsia="宋体"/>
                <w:sz w:val="21"/>
              </w:rPr>
              <w:t>0.6480</w:t>
            </w:r>
          </w:p>
        </w:tc>
      </w:tr>
    </w:tbl>
    <w:p>
      <w:pPr>
        <w:spacing w:after="120" w:line="360" w:lineRule="auto"/>
        <w:ind w:firstLine="420"/>
      </w:pPr>
      <w:r>
        <w:rPr>
          <w:rFonts w:ascii="宋体" w:hAnsi="宋体" w:eastAsia="宋体"/>
          <w:b w:val="0"/>
          <w:sz w:val="24"/>
        </w:rPr>
        <w:t>GPR在$R$、$P$、$T$上的5折交叉验证$R^2$分别达0.9981、0.9988、0.9941，RMSE低至$4.45\times10^{-4}\sim1.40\times10^{-3}$；留一法$R^2$进一步达0.9986、0.9991、0.9966。各折$R^2$均大于0.987且波动小，说明模型未过拟合。基线对比显示：多项式在84样本上$R^2$接近1（$R$指标$R^2=1.0$实为过参数化插值，且无法输出预测方差、域外不可靠）；随机森林$R^2$仅0.648~0.815，精度明显不足且无平滑导数。GPR相对随机森林$R^2$提升0.18~0.35，且唯一兼具"防过拟合＋不确定度量化"。</w:t>
      </w:r>
    </w:p>
    <w:p>
      <w:pPr>
        <w:spacing w:before="160" w:after="120"/>
      </w:pPr>
      <w:r>
        <w:rPr>
          <w:rFonts w:ascii="黑体" w:hAnsi="黑体" w:eastAsia="黑体"/>
          <w:b/>
          <w:sz w:val="24"/>
        </w:rPr>
        <w:t>结果分析</w:t>
      </w:r>
    </w:p>
    <w:p>
      <w:pPr>
        <w:spacing w:after="120" w:line="360" w:lineRule="auto"/>
        <w:ind w:firstLine="420"/>
      </w:pPr>
      <w:r>
        <w:rPr>
          <w:rFonts w:ascii="宋体" w:hAnsi="宋体" w:eastAsia="宋体"/>
          <w:b w:val="0"/>
          <w:sz w:val="24"/>
        </w:rPr>
        <w:t>GPR拟合效果、残差分布、模型对比与预测不确定度如图5-4至图5-7所示。</w:t>
      </w:r>
    </w:p>
    <w:p>
      <w:pPr>
        <w:jc w:val="center"/>
      </w:pPr>
      <w:r>
        <w:drawing>
          <wp:inline xmlns:a="http://schemas.openxmlformats.org/drawingml/2006/main" xmlns:pic="http://schemas.openxmlformats.org/drawingml/2006/picture">
            <wp:extent cx="4860000" cy="1431585"/>
            <wp:docPr id="5" name="Picture 5"/>
            <wp:cNvGraphicFramePr>
              <a:graphicFrameLocks noChangeAspect="1"/>
            </wp:cNvGraphicFramePr>
            <a:graphic>
              <a:graphicData uri="http://schemas.openxmlformats.org/drawingml/2006/picture">
                <pic:pic>
                  <pic:nvPicPr>
                    <pic:cNvPr id="0" name="q2_01_gpr_fit.png"/>
                    <pic:cNvPicPr/>
                  </pic:nvPicPr>
                  <pic:blipFill>
                    <a:blip r:embed="rId13"/>
                    <a:stretch>
                      <a:fillRect/>
                    </a:stretch>
                  </pic:blipFill>
                  <pic:spPr>
                    <a:xfrm>
                      <a:off x="0" y="0"/>
                      <a:ext cx="4860000" cy="1431585"/>
                    </a:xfrm>
                    <a:prstGeom prst="rect"/>
                  </pic:spPr>
                </pic:pic>
              </a:graphicData>
            </a:graphic>
          </wp:inline>
        </w:drawing>
      </w:r>
    </w:p>
    <w:p>
      <w:pPr>
        <w:spacing w:after="200" w:line="288" w:lineRule="auto"/>
        <w:jc w:val="center"/>
      </w:pPr>
      <w:r>
        <w:rPr>
          <w:rFonts w:ascii="黑体" w:hAnsi="黑体" w:eastAsia="黑体"/>
          <w:b w:val="0"/>
          <w:sz w:val="21"/>
        </w:rPr>
        <w:t>图5-4 GPR拟合效果（预测值vs真实值）</w:t>
      </w:r>
    </w:p>
    <w:p>
      <w:pPr>
        <w:jc w:val="center"/>
      </w:pPr>
      <w:r>
        <w:drawing>
          <wp:inline xmlns:a="http://schemas.openxmlformats.org/drawingml/2006/main" xmlns:pic="http://schemas.openxmlformats.org/drawingml/2006/picture">
            <wp:extent cx="4860000" cy="2109751"/>
            <wp:docPr id="6" name="Picture 6"/>
            <wp:cNvGraphicFramePr>
              <a:graphicFrameLocks noChangeAspect="1"/>
            </wp:cNvGraphicFramePr>
            <a:graphic>
              <a:graphicData uri="http://schemas.openxmlformats.org/drawingml/2006/picture">
                <pic:pic>
                  <pic:nvPicPr>
                    <pic:cNvPr id="0" name="q2_02_residuals.png"/>
                    <pic:cNvPicPr/>
                  </pic:nvPicPr>
                  <pic:blipFill>
                    <a:blip r:embed="rId14"/>
                    <a:stretch>
                      <a:fillRect/>
                    </a:stretch>
                  </pic:blipFill>
                  <pic:spPr>
                    <a:xfrm>
                      <a:off x="0" y="0"/>
                      <a:ext cx="4860000" cy="2109751"/>
                    </a:xfrm>
                    <a:prstGeom prst="rect"/>
                  </pic:spPr>
                </pic:pic>
              </a:graphicData>
            </a:graphic>
          </wp:inline>
        </w:drawing>
      </w:r>
    </w:p>
    <w:p>
      <w:pPr>
        <w:spacing w:after="200" w:line="288" w:lineRule="auto"/>
        <w:jc w:val="center"/>
      </w:pPr>
      <w:r>
        <w:rPr>
          <w:rFonts w:ascii="黑体" w:hAnsi="黑体" w:eastAsia="黑体"/>
          <w:b w:val="0"/>
          <w:sz w:val="21"/>
        </w:rPr>
        <w:t>图5-5 GPR留一法残差分析</w:t>
      </w:r>
    </w:p>
    <w:p>
      <w:pPr>
        <w:jc w:val="center"/>
      </w:pPr>
      <w:r>
        <w:drawing>
          <wp:inline xmlns:a="http://schemas.openxmlformats.org/drawingml/2006/main" xmlns:pic="http://schemas.openxmlformats.org/drawingml/2006/picture">
            <wp:extent cx="4860000" cy="1797982"/>
            <wp:docPr id="7" name="Picture 7"/>
            <wp:cNvGraphicFramePr>
              <a:graphicFrameLocks noChangeAspect="1"/>
            </wp:cNvGraphicFramePr>
            <a:graphic>
              <a:graphicData uri="http://schemas.openxmlformats.org/drawingml/2006/picture">
                <pic:pic>
                  <pic:nvPicPr>
                    <pic:cNvPr id="0" name="q2_03_model_compare.png"/>
                    <pic:cNvPicPr/>
                  </pic:nvPicPr>
                  <pic:blipFill>
                    <a:blip r:embed="rId15"/>
                    <a:stretch>
                      <a:fillRect/>
                    </a:stretch>
                  </pic:blipFill>
                  <pic:spPr>
                    <a:xfrm>
                      <a:off x="0" y="0"/>
                      <a:ext cx="4860000" cy="1797982"/>
                    </a:xfrm>
                    <a:prstGeom prst="rect"/>
                  </pic:spPr>
                </pic:pic>
              </a:graphicData>
            </a:graphic>
          </wp:inline>
        </w:drawing>
      </w:r>
    </w:p>
    <w:p>
      <w:pPr>
        <w:spacing w:after="200" w:line="288" w:lineRule="auto"/>
        <w:jc w:val="center"/>
      </w:pPr>
      <w:r>
        <w:rPr>
          <w:rFonts w:ascii="黑体" w:hAnsi="黑体" w:eastAsia="黑体"/>
          <w:b w:val="0"/>
          <w:sz w:val="21"/>
        </w:rPr>
        <w:t>图5-6 GPR与多项式、随机森林基线对比</w:t>
      </w:r>
    </w:p>
    <w:p>
      <w:pPr>
        <w:jc w:val="center"/>
      </w:pPr>
      <w:r>
        <w:drawing>
          <wp:inline xmlns:a="http://schemas.openxmlformats.org/drawingml/2006/main" xmlns:pic="http://schemas.openxmlformats.org/drawingml/2006/picture">
            <wp:extent cx="4860000" cy="1433635"/>
            <wp:docPr id="8" name="Picture 8"/>
            <wp:cNvGraphicFramePr>
              <a:graphicFrameLocks noChangeAspect="1"/>
            </wp:cNvGraphicFramePr>
            <a:graphic>
              <a:graphicData uri="http://schemas.openxmlformats.org/drawingml/2006/picture">
                <pic:pic>
                  <pic:nvPicPr>
                    <pic:cNvPr id="0" name="q2_04_gpr_uncertainty.png"/>
                    <pic:cNvPicPr/>
                  </pic:nvPicPr>
                  <pic:blipFill>
                    <a:blip r:embed="rId16"/>
                    <a:stretch>
                      <a:fillRect/>
                    </a:stretch>
                  </pic:blipFill>
                  <pic:spPr>
                    <a:xfrm>
                      <a:off x="0" y="0"/>
                      <a:ext cx="4860000" cy="1433635"/>
                    </a:xfrm>
                    <a:prstGeom prst="rect"/>
                  </pic:spPr>
                </pic:pic>
              </a:graphicData>
            </a:graphic>
          </wp:inline>
        </w:drawing>
      </w:r>
    </w:p>
    <w:p>
      <w:pPr>
        <w:spacing w:after="200" w:line="288" w:lineRule="auto"/>
        <w:jc w:val="center"/>
      </w:pPr>
      <w:r>
        <w:rPr>
          <w:rFonts w:ascii="黑体" w:hAnsi="黑体" w:eastAsia="黑体"/>
          <w:b w:val="0"/>
          <w:sz w:val="21"/>
        </w:rPr>
        <w:t>图5-7 GPR预测不确定度（均值与区间）</w:t>
      </w:r>
    </w:p>
    <w:p>
      <w:pPr>
        <w:spacing w:after="120" w:line="360" w:lineRule="auto"/>
        <w:ind w:firstLine="420"/>
      </w:pPr>
      <w:r>
        <w:rPr>
          <w:rFonts w:ascii="宋体" w:hAnsi="宋体" w:eastAsia="宋体"/>
          <w:b w:val="0"/>
          <w:sz w:val="24"/>
        </w:rPr>
        <w:t>ARD自动特征选择输出各指标的特征重要度如图5-8所示。</w:t>
      </w:r>
    </w:p>
    <w:p>
      <w:pPr>
        <w:jc w:val="center"/>
      </w:pPr>
      <w:r>
        <w:drawing>
          <wp:inline xmlns:a="http://schemas.openxmlformats.org/drawingml/2006/main" xmlns:pic="http://schemas.openxmlformats.org/drawingml/2006/picture">
            <wp:extent cx="4860000" cy="2704785"/>
            <wp:docPr id="9" name="Picture 9"/>
            <wp:cNvGraphicFramePr>
              <a:graphicFrameLocks noChangeAspect="1"/>
            </wp:cNvGraphicFramePr>
            <a:graphic>
              <a:graphicData uri="http://schemas.openxmlformats.org/drawingml/2006/picture">
                <pic:pic>
                  <pic:nvPicPr>
                    <pic:cNvPr id="0" name="q2_05_ard_importance.png"/>
                    <pic:cNvPicPr/>
                  </pic:nvPicPr>
                  <pic:blipFill>
                    <a:blip r:embed="rId17"/>
                    <a:stretch>
                      <a:fillRect/>
                    </a:stretch>
                  </pic:blipFill>
                  <pic:spPr>
                    <a:xfrm>
                      <a:off x="0" y="0"/>
                      <a:ext cx="4860000" cy="2704785"/>
                    </a:xfrm>
                    <a:prstGeom prst="rect"/>
                  </pic:spPr>
                </pic:pic>
              </a:graphicData>
            </a:graphic>
          </wp:inline>
        </w:drawing>
      </w:r>
    </w:p>
    <w:p>
      <w:pPr>
        <w:spacing w:after="200" w:line="288" w:lineRule="auto"/>
        <w:jc w:val="center"/>
      </w:pPr>
      <w:r>
        <w:rPr>
          <w:rFonts w:ascii="黑体" w:hAnsi="黑体" w:eastAsia="黑体"/>
          <w:b w:val="0"/>
          <w:sz w:val="21"/>
        </w:rPr>
        <w:t>图5-8 ARD特征重要度（各输入维长度尺度倒数归一化）</w:t>
      </w:r>
    </w:p>
    <w:p>
      <w:pPr>
        <w:spacing w:after="120" w:line="360" w:lineRule="auto"/>
        <w:ind w:firstLine="420"/>
      </w:pPr>
      <w:r>
        <w:rPr>
          <w:rFonts w:ascii="宋体" w:hAnsi="宋体" w:eastAsia="宋体"/>
          <w:b w:val="0"/>
          <w:sz w:val="24"/>
        </w:rPr>
        <w:t>结果表明：GPR在84样本的小样本场景下能高精度刻画结构参数与性能指标的非线性映射关系（留一法$R^2\ge0.9966$），预测方差在样本稀疏区域自适应增宽（图5-7），为后续多目标优化与双源不确定度传播提供"优化级精度＋认知不确定度"双重支撑。ARD重要度显示：$R$指标三变量重要度均衡（0.327/0.336/0.337），$P$指标$r$、$n$重要（0.384/0.389）、$h$次之（0.227），$T$指标$n$略占优（0.358），与问题一机理结论互相印证。</w:t>
      </w:r>
    </w:p>
    <w:p>
      <w:pPr>
        <w:spacing w:before="160" w:after="120"/>
      </w:pPr>
      <w:r>
        <w:rPr>
          <w:rFonts w:ascii="黑体" w:hAnsi="黑体" w:eastAsia="黑体"/>
          <w:b/>
          <w:sz w:val="28"/>
        </w:rPr>
        <w:t>问题三：多目标优化与综合最优设计</w:t>
      </w:r>
    </w:p>
    <w:p>
      <w:pPr>
        <w:spacing w:after="120" w:line="360" w:lineRule="auto"/>
        <w:ind w:firstLine="420"/>
      </w:pPr>
      <w:r>
        <w:rPr>
          <w:rFonts w:ascii="宋体" w:hAnsi="宋体" w:eastAsia="宋体"/>
          <w:b w:val="0"/>
          <w:sz w:val="24"/>
        </w:rPr>
        <w:t>针对问题三，本节在问题二GPR代理模型基础上，以归一化指标$\tilde R$、$\tilde P$、$\tilde T$尽可能小为目标建立多目标优化模型，用NSGA-II生成Pareto前沿，用熵权TOPSIS选取综合最优方案，并以等权重TOPSIS与等权重标量化差分进化交叉验证。具体过程如下。</w:t>
      </w:r>
    </w:p>
    <w:p>
      <w:pPr>
        <w:spacing w:before="160" w:after="120"/>
      </w:pPr>
      <w:r>
        <w:rPr>
          <w:rFonts w:ascii="黑体" w:hAnsi="黑体" w:eastAsia="黑体"/>
          <w:b/>
          <w:sz w:val="24"/>
        </w:rPr>
        <w:t>数据预处理说明</w:t>
      </w:r>
    </w:p>
    <w:p>
      <w:pPr>
        <w:spacing w:after="120" w:line="360" w:lineRule="auto"/>
        <w:ind w:firstLine="420"/>
      </w:pPr>
      <w:r>
        <w:rPr>
          <w:rFonts w:ascii="宋体" w:hAnsi="宋体" w:eastAsia="宋体"/>
          <w:b w:val="0"/>
          <w:sz w:val="24"/>
        </w:rPr>
        <w:t>本问的优化对象为结构参数候选点及其代理预测值，无需额外样本数据预处理。归一化基准沿用问题二训练数据的指标范围（$R$、$P$、$T$量程0.0519、0.1274、0.0991），保证优化过程中各指标量纲一致、可比。</w:t>
      </w:r>
    </w:p>
    <w:p>
      <w:pPr>
        <w:spacing w:before="160" w:after="120"/>
      </w:pPr>
      <w:r>
        <w:rPr>
          <w:rFonts w:ascii="黑体" w:hAnsi="黑体" w:eastAsia="黑体"/>
          <w:b/>
          <w:sz w:val="24"/>
        </w:rPr>
        <w:t>多目标优化模型的建立</w:t>
      </w:r>
    </w:p>
    <w:p>
      <w:pPr>
        <w:spacing w:after="120" w:line="360" w:lineRule="auto"/>
        <w:ind w:firstLine="420"/>
      </w:pPr>
      <w:r>
        <w:rPr>
          <w:rFonts w:ascii="宋体" w:hAnsi="宋体" w:eastAsia="宋体"/>
          <w:b/>
          <w:sz w:val="24"/>
        </w:rPr>
        <w:t>步骤1：目标函数与决策变量。</w:t>
      </w:r>
      <w:r>
        <w:rPr>
          <w:rFonts w:ascii="宋体" w:hAnsi="宋体" w:eastAsia="宋体"/>
          <w:b w:val="0"/>
          <w:sz w:val="24"/>
        </w:rPr>
        <w:t>在GPR代理模型基础上，建立如下多目标优化模型：</w:t>
      </w:r>
    </w:p>
    <w:p>
      <w:pPr>
        <w:spacing w:after="120" w:line="312" w:lineRule="auto"/>
        <w:jc w:val="center"/>
      </w:pPr>
      <w:r>
        <w:rPr>
          <w:rFonts w:ascii="宋体" w:hAnsi="宋体" w:eastAsia="宋体"/>
          <w:b w:val="0"/>
          <w:sz w:val="24"/>
        </w:rPr>
        <w:t>\min_{\mathbf{x}}\ \left(\tilde R(\mathbf{x}),\ \tilde P(\mathbf{x}),\ \tilde T(\mathbf{x})\right) \tag{1}</w:t>
      </w:r>
    </w:p>
    <w:p>
      <w:pPr>
        <w:spacing w:after="120" w:line="312" w:lineRule="auto"/>
        <w:jc w:val="center"/>
      </w:pPr>
      <w:r>
        <w:rPr>
          <w:rFonts w:ascii="宋体" w:hAnsi="宋体" w:eastAsia="宋体"/>
          <w:b w:val="0"/>
          <w:sz w:val="24"/>
        </w:rPr>
        <w:t>\text{s.t.}\quad 0\leq r\leq 0.3,\qquad 3.0\leq h\leq 4.5,\qquad n\in\{0,2,4,6,8,10\} \tag{2}</w:t>
      </w:r>
    </w:p>
    <w:p>
      <w:pPr>
        <w:spacing w:after="120" w:line="360" w:lineRule="auto"/>
        <w:ind w:firstLine="420"/>
      </w:pPr>
      <w:r>
        <w:rPr>
          <w:rFonts w:ascii="宋体" w:hAnsi="宋体" w:eastAsia="宋体"/>
          <w:b w:val="0"/>
          <w:sz w:val="24"/>
        </w:rPr>
        <w:t>其中，$\mathbf{x}=(r,h,n)$为决策变量，三个目标经归一化后量纲一致。由于三目标相互冲突（$R$与$P$强负相关），不存在使三者同时最小的单一解，需寻找Pareto最优解集。</w:t>
      </w:r>
    </w:p>
    <w:p>
      <w:pPr>
        <w:spacing w:after="120" w:line="360" w:lineRule="auto"/>
        <w:ind w:firstLine="420"/>
      </w:pPr>
      <w:r>
        <w:rPr>
          <w:rFonts w:ascii="宋体" w:hAnsi="宋体" w:eastAsia="宋体"/>
          <w:b/>
          <w:sz w:val="24"/>
        </w:rPr>
        <w:t>步骤2：可行域耦合约束。</w:t>
      </w:r>
      <w:r>
        <w:rPr>
          <w:rFonts w:ascii="宋体" w:hAnsi="宋体" w:eastAsia="宋体"/>
          <w:b w:val="0"/>
          <w:sz w:val="24"/>
        </w:rPr>
        <w:t>由假设12，$r=0$时$n=0$（无针肋基线）、$r&gt;0$时$n$取偶数集$\{2,4,6,8,10\}$，禁止$(r&gt;0,n=0)$与$(r=0,n&gt;0)$的不可行组合。进化过程中将$n$连续化，最终就近取可行偶数并用代理复算校正。</w:t>
      </w:r>
    </w:p>
    <w:p>
      <w:pPr>
        <w:spacing w:after="120" w:line="360" w:lineRule="auto"/>
        <w:ind w:firstLine="420"/>
      </w:pPr>
      <w:r>
        <w:rPr>
          <w:rFonts w:ascii="宋体" w:hAnsi="宋体" w:eastAsia="宋体"/>
          <w:b/>
          <w:sz w:val="24"/>
        </w:rPr>
        <w:t>步骤3：评价与决策判据。</w:t>
      </w:r>
      <w:r>
        <w:rPr>
          <w:rFonts w:ascii="宋体" w:hAnsi="宋体" w:eastAsia="宋体"/>
          <w:b w:val="0"/>
          <w:sz w:val="24"/>
        </w:rPr>
        <w:t>Pareto前沿上各方案相互非支配，需按决策准则优选。采用熵权法客观定权：将成本型归一化指标转效益型$b_{ij}=1-\tilde y_{ij}$，计算Shannon熵与差异度</w:t>
      </w:r>
    </w:p>
    <w:p>
      <w:pPr>
        <w:spacing w:after="120" w:line="312" w:lineRule="auto"/>
        <w:jc w:val="center"/>
      </w:pPr>
      <w:r>
        <w:rPr>
          <w:rFonts w:ascii="宋体" w:hAnsi="宋体" w:eastAsia="宋体"/>
          <w:b w:val="0"/>
          <w:sz w:val="24"/>
        </w:rPr>
        <w:t>e_j=-\frac{1}{\ln m}\sum_{i}p_{ij}\ln p_{ij},\quad p_{ij}=\frac{b_{ij}}{\sum_i b_{ij}},\qquad w_j=\frac{1-e_j}{\sum_j(1-e_j)} \tag{3}</w:t>
      </w:r>
    </w:p>
    <w:p>
      <w:pPr>
        <w:spacing w:after="120" w:line="360" w:lineRule="auto"/>
        <w:ind w:firstLine="420"/>
      </w:pPr>
      <w:r>
        <w:rPr>
          <w:rFonts w:ascii="宋体" w:hAnsi="宋体" w:eastAsia="宋体"/>
          <w:b w:val="0"/>
          <w:sz w:val="24"/>
        </w:rPr>
        <w:t>其中，$m$为方案数，$w_j$为第$j$个指标权重。随后用加权TOPSIS[7]从Pareto前沿选取综合最优方案：对加权决策矩阵$v_{ij}=w_j\tilde y_{ij}$，以正理想解$A^+=\min_i v_{ij}$、负理想解$A^-=\max_i v_{ij}$，计算贴近度</w:t>
      </w:r>
    </w:p>
    <w:p>
      <w:pPr>
        <w:spacing w:after="120" w:line="312" w:lineRule="auto"/>
        <w:jc w:val="center"/>
      </w:pPr>
      <w:r>
        <w:rPr>
          <w:rFonts w:ascii="宋体" w:hAnsi="宋体" w:eastAsia="宋体"/>
          <w:b w:val="0"/>
          <w:sz w:val="24"/>
        </w:rPr>
        <w:t>D_i^+=\sqrt{\sum_j(v_{ij}-A_j^+)^2},\quad D_i^-=\sqrt{\sum_j(v_{ij}-A_j^-)^2},\qquad C_i=\frac{D_i^-}{D_i^+ + D_i^-} \tag{4}</w:t>
      </w:r>
    </w:p>
    <w:p>
      <w:pPr>
        <w:spacing w:after="120" w:line="360" w:lineRule="auto"/>
        <w:ind w:firstLine="420"/>
      </w:pPr>
      <w:r>
        <w:rPr>
          <w:rFonts w:ascii="宋体" w:hAnsi="宋体" w:eastAsia="宋体"/>
          <w:b w:val="0"/>
          <w:sz w:val="24"/>
        </w:rPr>
        <w:t>$C_i$越大方案越优。综上，本节建立了"NSGA-II寻优＋熵权TOPSIS决策"的多目标优化模型，接下来求解。</w:t>
      </w:r>
    </w:p>
    <w:p>
      <w:pPr>
        <w:spacing w:before="160" w:after="120"/>
      </w:pPr>
      <w:r>
        <w:rPr>
          <w:rFonts w:ascii="黑体" w:hAnsi="黑体" w:eastAsia="黑体"/>
          <w:b/>
          <w:sz w:val="24"/>
        </w:rPr>
        <w:t>模型的求解</w:t>
      </w:r>
    </w:p>
    <w:p>
      <w:pPr>
        <w:spacing w:after="120" w:line="360" w:lineRule="auto"/>
        <w:ind w:firstLine="420"/>
      </w:pPr>
      <w:r>
        <w:rPr>
          <w:rFonts w:ascii="宋体" w:hAnsi="宋体" w:eastAsia="宋体"/>
          <w:b w:val="0"/>
          <w:sz w:val="24"/>
        </w:rPr>
        <w:t>采用带精英保留的NSGA-II算法[6]求解：种群规模120、进化300代，模拟二进制交叉（$p_c=0.9$）、多项式变异（$p_m=0.1$），适应度由GPR代理评估；在固定种子42/7/123/2024/8下运行5次，取并集非支配点构成Pareto前沿，共442个点。随后以熵权TOPSIS（式(3)(4)）从前沿选取综合最优方案；对连续化的$n$，就近取可行偶数并用代理复算校正，禁止直接四舍五入。同时以等权重TOPSIS与等权重标量化$F=(\tilde R+\tilde P+\tilde T)/3$的差分进化独立求解，作为交叉验证。</w:t>
      </w:r>
    </w:p>
    <w:p>
      <w:pPr>
        <w:spacing w:before="160" w:after="120"/>
      </w:pPr>
      <w:r>
        <w:rPr>
          <w:rFonts w:ascii="黑体" w:hAnsi="黑体" w:eastAsia="黑体"/>
          <w:b/>
          <w:sz w:val="24"/>
        </w:rPr>
        <w:t>模型的检验</w:t>
      </w:r>
    </w:p>
    <w:p>
      <w:pPr>
        <w:spacing w:after="120" w:line="360" w:lineRule="auto"/>
        <w:ind w:firstLine="420"/>
      </w:pPr>
      <w:r>
        <w:rPr>
          <w:rFonts w:ascii="宋体" w:hAnsi="宋体" w:eastAsia="宋体"/>
          <w:b w:val="0"/>
          <w:sz w:val="24"/>
        </w:rPr>
        <w:t>从三方面检验。一是前沿完整性：442个Pareto点在三目标空间连续覆盖（图5-9、图5-10），支配84个数据设计中的82个（97.62%），说明进化搜索显著拓展了原始设计；二是多路线交叉验证：熵权TOPSIS、等权重TOPSIS与等权重标量化三条独立路径的$r^*$、$h^*$高度一致（$r^*\approx0.21\sim0.22$、$h^*=4.5$），仅$n^*$在$\{4,6\}$间分歧，归一化设计距离0.2001，判定"基本一致"，排除了单一判据偶然性；三是整数复算校正：$n$取整前后的指标偏差经代理复算修正，保证方案可行（表5-3）。</w:t>
      </w:r>
    </w:p>
    <w:p>
      <w:pPr>
        <w:spacing w:before="160" w:after="120"/>
      </w:pPr>
      <w:r>
        <w:rPr>
          <w:rFonts w:ascii="黑体" w:hAnsi="黑体" w:eastAsia="黑体"/>
          <w:b/>
          <w:sz w:val="24"/>
        </w:rPr>
        <w:t>结果分析</w:t>
      </w:r>
    </w:p>
    <w:p>
      <w:pPr>
        <w:spacing w:after="120" w:line="360" w:lineRule="auto"/>
        <w:ind w:firstLine="420"/>
      </w:pPr>
      <w:r>
        <w:rPr>
          <w:rFonts w:ascii="宋体" w:hAnsi="宋体" w:eastAsia="宋体"/>
          <w:b w:val="0"/>
          <w:sz w:val="24"/>
        </w:rPr>
        <w:t>三条求解路径的最优方案与数据单指标最优对比如表5-3、图5-11所示。</w:t>
      </w:r>
    </w:p>
    <w:p>
      <w:pPr>
        <w:spacing w:after="120" w:line="360" w:lineRule="auto"/>
        <w:ind w:firstLine="420"/>
      </w:pPr>
      <w:r>
        <w:rPr>
          <w:rFonts w:ascii="宋体" w:hAnsi="宋体" w:eastAsia="宋体"/>
          <w:b/>
          <w:sz w:val="24"/>
        </w:rPr>
        <w:t>表5-3 各求解路径最优方案对比</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1296"/>
        <w:gridCol w:w="1296"/>
        <w:gridCol w:w="1296"/>
        <w:gridCol w:w="1296"/>
        <w:gridCol w:w="1296"/>
        <w:gridCol w:w="1296"/>
        <w:gridCol w:w="1296"/>
      </w:tblGrid>
      <w:tr>
        <w:tc>
          <w:tcPr>
            <w:tcW w:type="dxa" w:w="1296"/>
            <w:tcBorders>
              <w:bottom w:val="single" w:sz="6" w:color="000000"/>
            </w:tcBorders>
          </w:tcPr>
          <w:p>
            <w:pPr>
              <w:jc w:val="center"/>
            </w:pPr>
            <w:r/>
            <w:r>
              <w:rPr>
                <w:rFonts w:ascii="宋体" w:hAnsi="宋体" w:eastAsia="宋体"/>
                <w:b/>
                <w:sz w:val="21"/>
              </w:rPr>
              <w:t>方案</w:t>
            </w:r>
          </w:p>
        </w:tc>
        <w:tc>
          <w:tcPr>
            <w:tcW w:type="dxa" w:w="1296"/>
            <w:tcBorders>
              <w:bottom w:val="single" w:sz="6" w:color="000000"/>
            </w:tcBorders>
          </w:tcPr>
          <w:p>
            <w:pPr>
              <w:jc w:val="center"/>
            </w:pPr>
            <w:r/>
            <w:r>
              <w:rPr>
                <w:rFonts w:ascii="宋体" w:hAnsi="宋体" w:eastAsia="宋体"/>
                <w:b/>
                <w:sz w:val="21"/>
              </w:rPr>
              <w:t>$r$</w:t>
            </w:r>
          </w:p>
        </w:tc>
        <w:tc>
          <w:tcPr>
            <w:tcW w:type="dxa" w:w="1296"/>
            <w:tcBorders>
              <w:bottom w:val="single" w:sz="6" w:color="000000"/>
            </w:tcBorders>
          </w:tcPr>
          <w:p>
            <w:pPr>
              <w:jc w:val="center"/>
            </w:pPr>
            <w:r/>
            <w:r>
              <w:rPr>
                <w:rFonts w:ascii="宋体" w:hAnsi="宋体" w:eastAsia="宋体"/>
                <w:b/>
                <w:sz w:val="21"/>
              </w:rPr>
              <w:t>$h$</w:t>
            </w:r>
          </w:p>
        </w:tc>
        <w:tc>
          <w:tcPr>
            <w:tcW w:type="dxa" w:w="1296"/>
            <w:tcBorders>
              <w:bottom w:val="single" w:sz="6" w:color="000000"/>
            </w:tcBorders>
          </w:tcPr>
          <w:p>
            <w:pPr>
              <w:jc w:val="center"/>
            </w:pPr>
            <w:r/>
            <w:r>
              <w:rPr>
                <w:rFonts w:ascii="宋体" w:hAnsi="宋体" w:eastAsia="宋体"/>
                <w:b/>
                <w:sz w:val="21"/>
              </w:rPr>
              <w:t>$n$</w:t>
            </w:r>
          </w:p>
        </w:tc>
        <w:tc>
          <w:tcPr>
            <w:tcW w:type="dxa" w:w="1296"/>
            <w:tcBorders>
              <w:bottom w:val="single" w:sz="6" w:color="000000"/>
            </w:tcBorders>
          </w:tcPr>
          <w:p>
            <w:pPr>
              <w:jc w:val="center"/>
            </w:pPr>
            <w:r/>
            <w:r>
              <w:rPr>
                <w:rFonts w:ascii="宋体" w:hAnsi="宋体" w:eastAsia="宋体"/>
                <w:b/>
                <w:sz w:val="21"/>
              </w:rPr>
              <w:t>$R$</w:t>
            </w:r>
          </w:p>
        </w:tc>
        <w:tc>
          <w:tcPr>
            <w:tcW w:type="dxa" w:w="1296"/>
            <w:tcBorders>
              <w:bottom w:val="single" w:sz="6" w:color="000000"/>
            </w:tcBorders>
          </w:tcPr>
          <w:p>
            <w:pPr>
              <w:jc w:val="center"/>
            </w:pPr>
            <w:r/>
            <w:r>
              <w:rPr>
                <w:rFonts w:ascii="宋体" w:hAnsi="宋体" w:eastAsia="宋体"/>
                <w:b/>
                <w:sz w:val="21"/>
              </w:rPr>
              <w:t>$P$</w:t>
            </w:r>
          </w:p>
        </w:tc>
        <w:tc>
          <w:tcPr>
            <w:tcW w:type="dxa" w:w="1296"/>
            <w:tcBorders>
              <w:bottom w:val="single" w:sz="6" w:color="000000"/>
            </w:tcBorders>
          </w:tcPr>
          <w:p>
            <w:pPr>
              <w:jc w:val="center"/>
            </w:pPr>
            <w:r/>
            <w:r>
              <w:rPr>
                <w:rFonts w:ascii="宋体" w:hAnsi="宋体" w:eastAsia="宋体"/>
                <w:b/>
                <w:sz w:val="21"/>
              </w:rPr>
              <w:t>$T$</w:t>
            </w:r>
          </w:p>
        </w:tc>
      </w:tr>
      <w:tr>
        <w:tc>
          <w:tcPr>
            <w:tcW w:type="dxa" w:w="1296"/>
          </w:tcPr>
          <w:p>
            <w:pPr>
              <w:jc w:val="center"/>
            </w:pPr>
            <w:r/>
            <w:r>
              <w:rPr>
                <w:rFonts w:ascii="宋体" w:hAnsi="宋体" w:eastAsia="宋体"/>
                <w:sz w:val="21"/>
              </w:rPr>
              <w:t>**熵权TOPSIS（推荐）**</w:t>
            </w:r>
          </w:p>
        </w:tc>
        <w:tc>
          <w:tcPr>
            <w:tcW w:type="dxa" w:w="1296"/>
          </w:tcPr>
          <w:p>
            <w:pPr>
              <w:jc w:val="center"/>
            </w:pPr>
            <w:r/>
            <w:r>
              <w:rPr>
                <w:rFonts w:ascii="宋体" w:hAnsi="宋体" w:eastAsia="宋体"/>
                <w:sz w:val="21"/>
              </w:rPr>
              <w:t>**0.2148**</w:t>
            </w:r>
          </w:p>
        </w:tc>
        <w:tc>
          <w:tcPr>
            <w:tcW w:type="dxa" w:w="1296"/>
          </w:tcPr>
          <w:p>
            <w:pPr>
              <w:jc w:val="center"/>
            </w:pPr>
            <w:r/>
            <w:r>
              <w:rPr>
                <w:rFonts w:ascii="宋体" w:hAnsi="宋体" w:eastAsia="宋体"/>
                <w:sz w:val="21"/>
              </w:rPr>
              <w:t>**4.50**</w:t>
            </w:r>
          </w:p>
        </w:tc>
        <w:tc>
          <w:tcPr>
            <w:tcW w:type="dxa" w:w="1296"/>
          </w:tcPr>
          <w:p>
            <w:pPr>
              <w:jc w:val="center"/>
            </w:pPr>
            <w:r/>
            <w:r>
              <w:rPr>
                <w:rFonts w:ascii="宋体" w:hAnsi="宋体" w:eastAsia="宋体"/>
                <w:sz w:val="21"/>
              </w:rPr>
              <w:t>**6**</w:t>
            </w:r>
          </w:p>
        </w:tc>
        <w:tc>
          <w:tcPr>
            <w:tcW w:type="dxa" w:w="1296"/>
          </w:tcPr>
          <w:p>
            <w:pPr>
              <w:jc w:val="center"/>
            </w:pPr>
            <w:r/>
            <w:r>
              <w:rPr>
                <w:rFonts w:ascii="宋体" w:hAnsi="宋体" w:eastAsia="宋体"/>
                <w:sz w:val="21"/>
              </w:rPr>
              <w:t>**0.7351**</w:t>
            </w:r>
          </w:p>
        </w:tc>
        <w:tc>
          <w:tcPr>
            <w:tcW w:type="dxa" w:w="1296"/>
          </w:tcPr>
          <w:p>
            <w:pPr>
              <w:jc w:val="center"/>
            </w:pPr>
            <w:r/>
            <w:r>
              <w:rPr>
                <w:rFonts w:ascii="宋体" w:hAnsi="宋体" w:eastAsia="宋体"/>
                <w:sz w:val="21"/>
              </w:rPr>
              <w:t>**0.0961**</w:t>
            </w:r>
          </w:p>
        </w:tc>
        <w:tc>
          <w:tcPr>
            <w:tcW w:type="dxa" w:w="1296"/>
          </w:tcPr>
          <w:p>
            <w:pPr>
              <w:jc w:val="center"/>
            </w:pPr>
            <w:r/>
            <w:r>
              <w:rPr>
                <w:rFonts w:ascii="宋体" w:hAnsi="宋体" w:eastAsia="宋体"/>
                <w:sz w:val="21"/>
              </w:rPr>
              <w:t>**0.7908**</w:t>
            </w:r>
          </w:p>
        </w:tc>
      </w:tr>
      <w:tr>
        <w:tc>
          <w:tcPr>
            <w:tcW w:type="dxa" w:w="1296"/>
          </w:tcPr>
          <w:p>
            <w:pPr>
              <w:jc w:val="center"/>
            </w:pPr>
            <w:r/>
            <w:r>
              <w:rPr>
                <w:rFonts w:ascii="宋体" w:hAnsi="宋体" w:eastAsia="宋体"/>
                <w:sz w:val="21"/>
              </w:rPr>
              <w:t>等权重TOPSIS</w:t>
            </w:r>
          </w:p>
        </w:tc>
        <w:tc>
          <w:tcPr>
            <w:tcW w:type="dxa" w:w="1296"/>
          </w:tcPr>
          <w:p>
            <w:pPr>
              <w:jc w:val="center"/>
            </w:pPr>
            <w:r/>
            <w:r>
              <w:rPr>
                <w:rFonts w:ascii="宋体" w:hAnsi="宋体" w:eastAsia="宋体"/>
                <w:sz w:val="21"/>
              </w:rPr>
              <w:t>0.2206</w:t>
            </w:r>
          </w:p>
        </w:tc>
        <w:tc>
          <w:tcPr>
            <w:tcW w:type="dxa" w:w="1296"/>
          </w:tcPr>
          <w:p>
            <w:pPr>
              <w:jc w:val="center"/>
            </w:pPr>
            <w:r/>
            <w:r>
              <w:rPr>
                <w:rFonts w:ascii="宋体" w:hAnsi="宋体" w:eastAsia="宋体"/>
                <w:sz w:val="21"/>
              </w:rPr>
              <w:t>4.50</w:t>
            </w:r>
          </w:p>
        </w:tc>
        <w:tc>
          <w:tcPr>
            <w:tcW w:type="dxa" w:w="1296"/>
          </w:tcPr>
          <w:p>
            <w:pPr>
              <w:jc w:val="center"/>
            </w:pPr>
            <w:r/>
            <w:r>
              <w:rPr>
                <w:rFonts w:ascii="宋体" w:hAnsi="宋体" w:eastAsia="宋体"/>
                <w:sz w:val="21"/>
              </w:rPr>
              <w:t>6</w:t>
            </w:r>
          </w:p>
        </w:tc>
        <w:tc>
          <w:tcPr>
            <w:tcW w:type="dxa" w:w="1296"/>
          </w:tcPr>
          <w:p>
            <w:pPr>
              <w:jc w:val="center"/>
            </w:pPr>
            <w:r/>
            <w:r>
              <w:rPr>
                <w:rFonts w:ascii="宋体" w:hAnsi="宋体" w:eastAsia="宋体"/>
                <w:sz w:val="21"/>
              </w:rPr>
              <w:t>0.7347</w:t>
            </w:r>
          </w:p>
        </w:tc>
        <w:tc>
          <w:tcPr>
            <w:tcW w:type="dxa" w:w="1296"/>
          </w:tcPr>
          <w:p>
            <w:pPr>
              <w:jc w:val="center"/>
            </w:pPr>
            <w:r/>
            <w:r>
              <w:rPr>
                <w:rFonts w:ascii="宋体" w:hAnsi="宋体" w:eastAsia="宋体"/>
                <w:sz w:val="21"/>
              </w:rPr>
              <w:t>0.0973</w:t>
            </w:r>
          </w:p>
        </w:tc>
        <w:tc>
          <w:tcPr>
            <w:tcW w:type="dxa" w:w="1296"/>
          </w:tcPr>
          <w:p>
            <w:pPr>
              <w:jc w:val="center"/>
            </w:pPr>
            <w:r/>
            <w:r>
              <w:rPr>
                <w:rFonts w:ascii="宋体" w:hAnsi="宋体" w:eastAsia="宋体"/>
                <w:sz w:val="21"/>
              </w:rPr>
              <w:t>0.7906</w:t>
            </w:r>
          </w:p>
        </w:tc>
      </w:tr>
      <w:tr>
        <w:tc>
          <w:tcPr>
            <w:tcW w:type="dxa" w:w="1296"/>
          </w:tcPr>
          <w:p>
            <w:pPr>
              <w:jc w:val="center"/>
            </w:pPr>
            <w:r/>
            <w:r>
              <w:rPr>
                <w:rFonts w:ascii="宋体" w:hAnsi="宋体" w:eastAsia="宋体"/>
                <w:sz w:val="21"/>
              </w:rPr>
              <w:t>等权重标量化</w:t>
            </w:r>
          </w:p>
        </w:tc>
        <w:tc>
          <w:tcPr>
            <w:tcW w:type="dxa" w:w="1296"/>
          </w:tcPr>
          <w:p>
            <w:pPr>
              <w:jc w:val="center"/>
            </w:pPr>
            <w:r/>
            <w:r>
              <w:rPr>
                <w:rFonts w:ascii="宋体" w:hAnsi="宋体" w:eastAsia="宋体"/>
                <w:sz w:val="21"/>
              </w:rPr>
              <w:t>0.2169</w:t>
            </w:r>
          </w:p>
        </w:tc>
        <w:tc>
          <w:tcPr>
            <w:tcW w:type="dxa" w:w="1296"/>
          </w:tcPr>
          <w:p>
            <w:pPr>
              <w:jc w:val="center"/>
            </w:pPr>
            <w:r/>
            <w:r>
              <w:rPr>
                <w:rFonts w:ascii="宋体" w:hAnsi="宋体" w:eastAsia="宋体"/>
                <w:sz w:val="21"/>
              </w:rPr>
              <w:t>4.50</w:t>
            </w:r>
          </w:p>
        </w:tc>
        <w:tc>
          <w:tcPr>
            <w:tcW w:type="dxa" w:w="1296"/>
          </w:tcPr>
          <w:p>
            <w:pPr>
              <w:jc w:val="center"/>
            </w:pPr>
            <w:r/>
            <w:r>
              <w:rPr>
                <w:rFonts w:ascii="宋体" w:hAnsi="宋体" w:eastAsia="宋体"/>
                <w:sz w:val="21"/>
              </w:rPr>
              <w:t>4</w:t>
            </w:r>
          </w:p>
        </w:tc>
        <w:tc>
          <w:tcPr>
            <w:tcW w:type="dxa" w:w="1296"/>
          </w:tcPr>
          <w:p>
            <w:pPr>
              <w:jc w:val="center"/>
            </w:pPr>
            <w:r/>
            <w:r>
              <w:rPr>
                <w:rFonts w:ascii="宋体" w:hAnsi="宋体" w:eastAsia="宋体"/>
                <w:sz w:val="21"/>
              </w:rPr>
              <w:t>0.7414</w:t>
            </w:r>
          </w:p>
        </w:tc>
        <w:tc>
          <w:tcPr>
            <w:tcW w:type="dxa" w:w="1296"/>
          </w:tcPr>
          <w:p>
            <w:pPr>
              <w:jc w:val="center"/>
            </w:pPr>
            <w:r/>
            <w:r>
              <w:rPr>
                <w:rFonts w:ascii="宋体" w:hAnsi="宋体" w:eastAsia="宋体"/>
                <w:sz w:val="21"/>
              </w:rPr>
              <w:t>0.0845</w:t>
            </w:r>
          </w:p>
        </w:tc>
        <w:tc>
          <w:tcPr>
            <w:tcW w:type="dxa" w:w="1296"/>
          </w:tcPr>
          <w:p>
            <w:pPr>
              <w:jc w:val="center"/>
            </w:pPr>
            <w:r/>
            <w:r>
              <w:rPr>
                <w:rFonts w:ascii="宋体" w:hAnsi="宋体" w:eastAsia="宋体"/>
                <w:sz w:val="21"/>
              </w:rPr>
              <w:t>0.7723</w:t>
            </w:r>
          </w:p>
        </w:tc>
      </w:tr>
      <w:tr>
        <w:tc>
          <w:tcPr>
            <w:tcW w:type="dxa" w:w="1296"/>
          </w:tcPr>
          <w:p>
            <w:pPr>
              <w:jc w:val="center"/>
            </w:pPr>
            <w:r/>
            <w:r>
              <w:rPr>
                <w:rFonts w:ascii="宋体" w:hAnsi="宋体" w:eastAsia="宋体"/>
                <w:sz w:val="21"/>
              </w:rPr>
              <w:t>数据$R$最优</w:t>
            </w:r>
          </w:p>
        </w:tc>
        <w:tc>
          <w:tcPr>
            <w:tcW w:type="dxa" w:w="1296"/>
          </w:tcPr>
          <w:p>
            <w:pPr>
              <w:jc w:val="center"/>
            </w:pPr>
            <w:r/>
            <w:r>
              <w:rPr>
                <w:rFonts w:ascii="宋体" w:hAnsi="宋体" w:eastAsia="宋体"/>
                <w:sz w:val="21"/>
              </w:rPr>
              <w:t>0.2000</w:t>
            </w:r>
          </w:p>
        </w:tc>
        <w:tc>
          <w:tcPr>
            <w:tcW w:type="dxa" w:w="1296"/>
          </w:tcPr>
          <w:p>
            <w:pPr>
              <w:jc w:val="center"/>
            </w:pPr>
            <w:r/>
            <w:r>
              <w:rPr>
                <w:rFonts w:ascii="宋体" w:hAnsi="宋体" w:eastAsia="宋体"/>
                <w:sz w:val="21"/>
              </w:rPr>
              <w:t>3.00</w:t>
            </w:r>
          </w:p>
        </w:tc>
        <w:tc>
          <w:tcPr>
            <w:tcW w:type="dxa" w:w="1296"/>
          </w:tcPr>
          <w:p>
            <w:pPr>
              <w:jc w:val="center"/>
            </w:pPr>
            <w:r/>
            <w:r>
              <w:rPr>
                <w:rFonts w:ascii="宋体" w:hAnsi="宋体" w:eastAsia="宋体"/>
                <w:sz w:val="21"/>
              </w:rPr>
              <w:t>10</w:t>
            </w:r>
          </w:p>
        </w:tc>
        <w:tc>
          <w:tcPr>
            <w:tcW w:type="dxa" w:w="1296"/>
          </w:tcPr>
          <w:p>
            <w:pPr>
              <w:jc w:val="center"/>
            </w:pPr>
            <w:r/>
            <w:r>
              <w:rPr>
                <w:rFonts w:ascii="宋体" w:hAnsi="宋体" w:eastAsia="宋体"/>
                <w:sz w:val="21"/>
              </w:rPr>
              <w:t>0.7219</w:t>
            </w:r>
          </w:p>
        </w:tc>
        <w:tc>
          <w:tcPr>
            <w:tcW w:type="dxa" w:w="1296"/>
          </w:tcPr>
          <w:p>
            <w:pPr>
              <w:jc w:val="center"/>
            </w:pPr>
            <w:r/>
            <w:r>
              <w:rPr>
                <w:rFonts w:ascii="宋体" w:hAnsi="宋体" w:eastAsia="宋体"/>
                <w:sz w:val="21"/>
              </w:rPr>
              <w:t>—</w:t>
            </w:r>
          </w:p>
        </w:tc>
        <w:tc>
          <w:tcPr>
            <w:tcW w:type="dxa" w:w="1296"/>
          </w:tcPr>
          <w:p>
            <w:pPr>
              <w:jc w:val="center"/>
            </w:pPr>
            <w:r/>
            <w:r>
              <w:rPr>
                <w:rFonts w:ascii="宋体" w:hAnsi="宋体" w:eastAsia="宋体"/>
                <w:sz w:val="21"/>
              </w:rPr>
              <w:t>—</w:t>
            </w:r>
          </w:p>
        </w:tc>
      </w:tr>
      <w:tr>
        <w:tc>
          <w:tcPr>
            <w:tcW w:type="dxa" w:w="1296"/>
          </w:tcPr>
          <w:p>
            <w:pPr>
              <w:jc w:val="center"/>
            </w:pPr>
            <w:r/>
            <w:r>
              <w:rPr>
                <w:rFonts w:ascii="宋体" w:hAnsi="宋体" w:eastAsia="宋体"/>
                <w:sz w:val="21"/>
              </w:rPr>
              <w:t>数据$P$最优</w:t>
            </w:r>
          </w:p>
        </w:tc>
        <w:tc>
          <w:tcPr>
            <w:tcW w:type="dxa" w:w="1296"/>
          </w:tcPr>
          <w:p>
            <w:pPr>
              <w:jc w:val="center"/>
            </w:pPr>
            <w:r/>
            <w:r>
              <w:rPr>
                <w:rFonts w:ascii="宋体" w:hAnsi="宋体" w:eastAsia="宋体"/>
                <w:sz w:val="21"/>
              </w:rPr>
              <w:t>0.2000</w:t>
            </w:r>
          </w:p>
        </w:tc>
        <w:tc>
          <w:tcPr>
            <w:tcW w:type="dxa" w:w="1296"/>
          </w:tcPr>
          <w:p>
            <w:pPr>
              <w:jc w:val="center"/>
            </w:pPr>
            <w:r/>
            <w:r>
              <w:rPr>
                <w:rFonts w:ascii="宋体" w:hAnsi="宋体" w:eastAsia="宋体"/>
                <w:sz w:val="21"/>
              </w:rPr>
              <w:t>4.50</w:t>
            </w:r>
          </w:p>
        </w:tc>
        <w:tc>
          <w:tcPr>
            <w:tcW w:type="dxa" w:w="1296"/>
          </w:tcPr>
          <w:p>
            <w:pPr>
              <w:jc w:val="center"/>
            </w:pPr>
            <w:r/>
            <w:r>
              <w:rPr>
                <w:rFonts w:ascii="宋体" w:hAnsi="宋体" w:eastAsia="宋体"/>
                <w:sz w:val="21"/>
              </w:rPr>
              <w:t>2</w:t>
            </w:r>
          </w:p>
        </w:tc>
        <w:tc>
          <w:tcPr>
            <w:tcW w:type="dxa" w:w="1296"/>
          </w:tcPr>
          <w:p>
            <w:pPr>
              <w:jc w:val="center"/>
            </w:pPr>
            <w:r/>
            <w:r>
              <w:rPr>
                <w:rFonts w:ascii="宋体" w:hAnsi="宋体" w:eastAsia="宋体"/>
                <w:sz w:val="21"/>
              </w:rPr>
              <w:t>—</w:t>
            </w:r>
          </w:p>
        </w:tc>
        <w:tc>
          <w:tcPr>
            <w:tcW w:type="dxa" w:w="1296"/>
          </w:tcPr>
          <w:p>
            <w:pPr>
              <w:jc w:val="center"/>
            </w:pPr>
            <w:r/>
            <w:r>
              <w:rPr>
                <w:rFonts w:ascii="宋体" w:hAnsi="宋体" w:eastAsia="宋体"/>
                <w:sz w:val="21"/>
              </w:rPr>
              <w:t>0.0767</w:t>
            </w:r>
          </w:p>
        </w:tc>
        <w:tc>
          <w:tcPr>
            <w:tcW w:type="dxa" w:w="1296"/>
          </w:tcPr>
          <w:p>
            <w:pPr>
              <w:jc w:val="center"/>
            </w:pPr>
            <w:r/>
            <w:r>
              <w:rPr>
                <w:rFonts w:ascii="宋体" w:hAnsi="宋体" w:eastAsia="宋体"/>
                <w:sz w:val="21"/>
              </w:rPr>
              <w:t>—</w:t>
            </w:r>
          </w:p>
        </w:tc>
      </w:tr>
      <w:tr>
        <w:tc>
          <w:tcPr>
            <w:tcW w:type="dxa" w:w="1296"/>
          </w:tcPr>
          <w:p>
            <w:pPr>
              <w:jc w:val="center"/>
            </w:pPr>
            <w:r/>
            <w:r>
              <w:rPr>
                <w:rFonts w:ascii="宋体" w:hAnsi="宋体" w:eastAsia="宋体"/>
                <w:sz w:val="21"/>
              </w:rPr>
              <w:t>数据$T$最优</w:t>
            </w:r>
          </w:p>
        </w:tc>
        <w:tc>
          <w:tcPr>
            <w:tcW w:type="dxa" w:w="1296"/>
          </w:tcPr>
          <w:p>
            <w:pPr>
              <w:jc w:val="center"/>
            </w:pPr>
            <w:r/>
            <w:r>
              <w:rPr>
                <w:rFonts w:ascii="宋体" w:hAnsi="宋体" w:eastAsia="宋体"/>
                <w:sz w:val="21"/>
              </w:rPr>
              <w:t>0.2000</w:t>
            </w:r>
          </w:p>
        </w:tc>
        <w:tc>
          <w:tcPr>
            <w:tcW w:type="dxa" w:w="1296"/>
          </w:tcPr>
          <w:p>
            <w:pPr>
              <w:jc w:val="center"/>
            </w:pPr>
            <w:r/>
            <w:r>
              <w:rPr>
                <w:rFonts w:ascii="宋体" w:hAnsi="宋体" w:eastAsia="宋体"/>
                <w:sz w:val="21"/>
              </w:rPr>
              <w:t>4.50</w:t>
            </w:r>
          </w:p>
        </w:tc>
        <w:tc>
          <w:tcPr>
            <w:tcW w:type="dxa" w:w="1296"/>
          </w:tcPr>
          <w:p>
            <w:pPr>
              <w:jc w:val="center"/>
            </w:pPr>
            <w:r/>
            <w:r>
              <w:rPr>
                <w:rFonts w:ascii="宋体" w:hAnsi="宋体" w:eastAsia="宋体"/>
                <w:sz w:val="21"/>
              </w:rPr>
              <w:t>4</w:t>
            </w:r>
          </w:p>
        </w:tc>
        <w:tc>
          <w:tcPr>
            <w:tcW w:type="dxa" w:w="1296"/>
          </w:tcPr>
          <w:p>
            <w:pPr>
              <w:jc w:val="center"/>
            </w:pPr>
            <w:r/>
            <w:r>
              <w:rPr>
                <w:rFonts w:ascii="宋体" w:hAnsi="宋体" w:eastAsia="宋体"/>
                <w:sz w:val="21"/>
              </w:rPr>
              <w:t>—</w:t>
            </w:r>
          </w:p>
        </w:tc>
        <w:tc>
          <w:tcPr>
            <w:tcW w:type="dxa" w:w="1296"/>
          </w:tcPr>
          <w:p>
            <w:pPr>
              <w:jc w:val="center"/>
            </w:pPr>
            <w:r/>
            <w:r>
              <w:rPr>
                <w:rFonts w:ascii="宋体" w:hAnsi="宋体" w:eastAsia="宋体"/>
                <w:sz w:val="21"/>
              </w:rPr>
              <w:t>—</w:t>
            </w:r>
          </w:p>
        </w:tc>
        <w:tc>
          <w:tcPr>
            <w:tcW w:type="dxa" w:w="1296"/>
          </w:tcPr>
          <w:p>
            <w:pPr>
              <w:jc w:val="center"/>
            </w:pPr>
            <w:r/>
            <w:r>
              <w:rPr>
                <w:rFonts w:ascii="宋体" w:hAnsi="宋体" w:eastAsia="宋体"/>
                <w:sz w:val="21"/>
              </w:rPr>
              <w:t>0.7740</w:t>
            </w:r>
          </w:p>
        </w:tc>
      </w:tr>
    </w:tbl>
    <w:p>
      <w:pPr>
        <w:spacing w:after="120" w:line="360" w:lineRule="auto"/>
        <w:ind w:firstLine="420"/>
      </w:pPr>
      <w:r>
        <w:rPr>
          <w:rFonts w:ascii="宋体" w:hAnsi="宋体" w:eastAsia="宋体"/>
          <w:b w:val="0"/>
          <w:sz w:val="24"/>
        </w:rPr>
        <w:t>熵权法客观定权结果为$w=(0.3735,0.4258,0.2006)$，即$P$、$R$占主导、$T$次之。熵权TOPSIS综合最优方案为$r^*=0.2148$、$h^*=4.50$（可行域上边界）、$n^*=6$（由连续值5.19就近取整复算校正），对应$R=0.7351$、$P=0.0961$、$T=0.7908$；该方案较数据最优设计（等权重标量化口径）提升1.12%。相比数据单指标最优（如$R_{\min}=0.7219$、$P_{\min}=0.0767$），综合方案各指标单独看略逊（如$P$高25.3%），但这是换取三指标均衡的代价，体现$R$—$P$强负相关的根本权衡，无单一设计可同时最优。</w:t>
      </w:r>
    </w:p>
    <w:p>
      <w:pPr>
        <w:jc w:val="center"/>
      </w:pPr>
      <w:r>
        <w:drawing>
          <wp:inline xmlns:a="http://schemas.openxmlformats.org/drawingml/2006/main" xmlns:pic="http://schemas.openxmlformats.org/drawingml/2006/picture">
            <wp:extent cx="4860000" cy="4766211"/>
            <wp:docPr id="10" name="Picture 10"/>
            <wp:cNvGraphicFramePr>
              <a:graphicFrameLocks noChangeAspect="1"/>
            </wp:cNvGraphicFramePr>
            <a:graphic>
              <a:graphicData uri="http://schemas.openxmlformats.org/drawingml/2006/picture">
                <pic:pic>
                  <pic:nvPicPr>
                    <pic:cNvPr id="0" name="q3_01_pareto_3d.png"/>
                    <pic:cNvPicPr/>
                  </pic:nvPicPr>
                  <pic:blipFill>
                    <a:blip r:embed="rId18"/>
                    <a:stretch>
                      <a:fillRect/>
                    </a:stretch>
                  </pic:blipFill>
                  <pic:spPr>
                    <a:xfrm>
                      <a:off x="0" y="0"/>
                      <a:ext cx="4860000" cy="4766211"/>
                    </a:xfrm>
                    <a:prstGeom prst="rect"/>
                  </pic:spPr>
                </pic:pic>
              </a:graphicData>
            </a:graphic>
          </wp:inline>
        </w:drawing>
      </w:r>
    </w:p>
    <w:p>
      <w:pPr>
        <w:spacing w:after="200" w:line="288" w:lineRule="auto"/>
        <w:jc w:val="center"/>
      </w:pPr>
      <w:r>
        <w:rPr>
          <w:rFonts w:ascii="黑体" w:hAnsi="黑体" w:eastAsia="黑体"/>
          <w:b w:val="0"/>
          <w:sz w:val="21"/>
        </w:rPr>
        <w:t>图5-9 Pareto前沿（三目标空间三维分布）</w:t>
      </w:r>
    </w:p>
    <w:p>
      <w:pPr>
        <w:jc w:val="center"/>
      </w:pPr>
      <w:r>
        <w:drawing>
          <wp:inline xmlns:a="http://schemas.openxmlformats.org/drawingml/2006/main" xmlns:pic="http://schemas.openxmlformats.org/drawingml/2006/picture">
            <wp:extent cx="4860000" cy="1433430"/>
            <wp:docPr id="11" name="Picture 11"/>
            <wp:cNvGraphicFramePr>
              <a:graphicFrameLocks noChangeAspect="1"/>
            </wp:cNvGraphicFramePr>
            <a:graphic>
              <a:graphicData uri="http://schemas.openxmlformats.org/drawingml/2006/picture">
                <pic:pic>
                  <pic:nvPicPr>
                    <pic:cNvPr id="0" name="q3_02_pareto_proj.png"/>
                    <pic:cNvPicPr/>
                  </pic:nvPicPr>
                  <pic:blipFill>
                    <a:blip r:embed="rId19"/>
                    <a:stretch>
                      <a:fillRect/>
                    </a:stretch>
                  </pic:blipFill>
                  <pic:spPr>
                    <a:xfrm>
                      <a:off x="0" y="0"/>
                      <a:ext cx="4860000" cy="1433430"/>
                    </a:xfrm>
                    <a:prstGeom prst="rect"/>
                  </pic:spPr>
                </pic:pic>
              </a:graphicData>
            </a:graphic>
          </wp:inline>
        </w:drawing>
      </w:r>
    </w:p>
    <w:p>
      <w:pPr>
        <w:spacing w:after="200" w:line="288" w:lineRule="auto"/>
        <w:jc w:val="center"/>
      </w:pPr>
      <w:r>
        <w:rPr>
          <w:rFonts w:ascii="黑体" w:hAnsi="黑体" w:eastAsia="黑体"/>
          <w:b w:val="0"/>
          <w:sz w:val="21"/>
        </w:rPr>
        <w:t>图5-10 Pareto前沿二维投影</w:t>
      </w:r>
    </w:p>
    <w:p>
      <w:pPr>
        <w:jc w:val="center"/>
      </w:pPr>
      <w:r>
        <w:drawing>
          <wp:inline xmlns:a="http://schemas.openxmlformats.org/drawingml/2006/main" xmlns:pic="http://schemas.openxmlformats.org/drawingml/2006/picture">
            <wp:extent cx="4860000" cy="1434148"/>
            <wp:docPr id="12" name="Picture 12"/>
            <wp:cNvGraphicFramePr>
              <a:graphicFrameLocks noChangeAspect="1"/>
            </wp:cNvGraphicFramePr>
            <a:graphic>
              <a:graphicData uri="http://schemas.openxmlformats.org/drawingml/2006/picture">
                <pic:pic>
                  <pic:nvPicPr>
                    <pic:cNvPr id="0" name="q3_03_best_vs_data.png"/>
                    <pic:cNvPicPr/>
                  </pic:nvPicPr>
                  <pic:blipFill>
                    <a:blip r:embed="rId20"/>
                    <a:stretch>
                      <a:fillRect/>
                    </a:stretch>
                  </pic:blipFill>
                  <pic:spPr>
                    <a:xfrm>
                      <a:off x="0" y="0"/>
                      <a:ext cx="4860000" cy="1434148"/>
                    </a:xfrm>
                    <a:prstGeom prst="rect"/>
                  </pic:spPr>
                </pic:pic>
              </a:graphicData>
            </a:graphic>
          </wp:inline>
        </w:drawing>
      </w:r>
    </w:p>
    <w:p>
      <w:pPr>
        <w:spacing w:after="200" w:line="288" w:lineRule="auto"/>
        <w:jc w:val="center"/>
      </w:pPr>
      <w:r>
        <w:rPr>
          <w:rFonts w:ascii="黑体" w:hAnsi="黑体" w:eastAsia="黑体"/>
          <w:b w:val="0"/>
          <w:sz w:val="21"/>
        </w:rPr>
        <w:t>图5-11 综合最优方案与数据最优方案对比</w:t>
      </w:r>
    </w:p>
    <w:p>
      <w:pPr>
        <w:jc w:val="center"/>
      </w:pPr>
      <w:r>
        <w:drawing>
          <wp:inline xmlns:a="http://schemas.openxmlformats.org/drawingml/2006/main" xmlns:pic="http://schemas.openxmlformats.org/drawingml/2006/picture">
            <wp:extent cx="4860000" cy="2764253"/>
            <wp:docPr id="13" name="Picture 13"/>
            <wp:cNvGraphicFramePr>
              <a:graphicFrameLocks noChangeAspect="1"/>
            </wp:cNvGraphicFramePr>
            <a:graphic>
              <a:graphicData uri="http://schemas.openxmlformats.org/drawingml/2006/picture">
                <pic:pic>
                  <pic:nvPicPr>
                    <pic:cNvPr id="0" name="q3_04_weights_compare.png"/>
                    <pic:cNvPicPr/>
                  </pic:nvPicPr>
                  <pic:blipFill>
                    <a:blip r:embed="rId21"/>
                    <a:stretch>
                      <a:fillRect/>
                    </a:stretch>
                  </pic:blipFill>
                  <pic:spPr>
                    <a:xfrm>
                      <a:off x="0" y="0"/>
                      <a:ext cx="4860000" cy="2764253"/>
                    </a:xfrm>
                    <a:prstGeom prst="rect"/>
                  </pic:spPr>
                </pic:pic>
              </a:graphicData>
            </a:graphic>
          </wp:inline>
        </w:drawing>
      </w:r>
    </w:p>
    <w:p>
      <w:pPr>
        <w:spacing w:after="200" w:line="288" w:lineRule="auto"/>
        <w:jc w:val="center"/>
      </w:pPr>
      <w:r>
        <w:rPr>
          <w:rFonts w:ascii="黑体" w:hAnsi="黑体" w:eastAsia="黑体"/>
          <w:b w:val="0"/>
          <w:sz w:val="21"/>
        </w:rPr>
        <w:t>图5-12 三种决策准则下最优方案对比</w:t>
      </w:r>
    </w:p>
    <w:p>
      <w:pPr>
        <w:spacing w:after="120" w:line="360" w:lineRule="auto"/>
        <w:ind w:firstLine="420"/>
      </w:pPr>
      <w:r>
        <w:rPr>
          <w:rFonts w:ascii="宋体" w:hAnsi="宋体" w:eastAsia="宋体"/>
          <w:b w:val="0"/>
          <w:sz w:val="24"/>
        </w:rPr>
        <w:t>综上，推荐$r^*=0.2148$、$h^*=4.50$、$n^*=6$为问题三综合最优设计方案，其性能在三条独立求解路径下交叉验证一致。</w:t>
      </w:r>
    </w:p>
    <w:p>
      <w:pPr>
        <w:spacing w:before="160" w:after="120"/>
      </w:pPr>
      <w:r>
        <w:rPr>
          <w:rFonts w:ascii="黑体" w:hAnsi="黑体" w:eastAsia="黑体"/>
          <w:b/>
          <w:sz w:val="28"/>
        </w:rPr>
        <w:t>问题四：权重域鲁棒设计</w:t>
      </w:r>
    </w:p>
    <w:p>
      <w:pPr>
        <w:spacing w:after="120" w:line="360" w:lineRule="auto"/>
        <w:ind w:firstLine="420"/>
      </w:pPr>
      <w:r>
        <w:rPr>
          <w:rFonts w:ascii="宋体" w:hAnsi="宋体" w:eastAsia="宋体"/>
          <w:b w:val="0"/>
          <w:sz w:val="24"/>
        </w:rPr>
        <w:t>针对问题四，本节研究三指标权重变化对最优方案的影响，并给出对偏好变化不敏感、稳定性强的鲁棒设计方案。首先通过权重扫描刻画最优方案随偏好的漂移，再将"对偏好不敏感"严格定义为权重域最坏情形下的加权性能最优，建立Max-Min鲁棒优化模型，利用凸性结构作顶点闭式约简后求解。具体过程如下。</w:t>
      </w:r>
    </w:p>
    <w:p>
      <w:pPr>
        <w:spacing w:before="160" w:after="120"/>
      </w:pPr>
      <w:r>
        <w:rPr>
          <w:rFonts w:ascii="黑体" w:hAnsi="黑体" w:eastAsia="黑体"/>
          <w:b/>
          <w:sz w:val="24"/>
        </w:rPr>
        <w:t>数据预处理说明</w:t>
      </w:r>
    </w:p>
    <w:p>
      <w:pPr>
        <w:spacing w:after="120" w:line="360" w:lineRule="auto"/>
        <w:ind w:firstLine="420"/>
      </w:pPr>
      <w:r>
        <w:rPr>
          <w:rFonts w:ascii="宋体" w:hAnsi="宋体" w:eastAsia="宋体"/>
          <w:b w:val="0"/>
          <w:sz w:val="24"/>
        </w:rPr>
        <w:t>本问研究对象为权重向量与设计方案，在问题三的优化框架下开展，不涉及新的样本数据，无需额外数据预处理。归一化基准沿用问题二训练数据范围。</w:t>
      </w:r>
    </w:p>
    <w:p>
      <w:pPr>
        <w:spacing w:before="160" w:after="120"/>
      </w:pPr>
      <w:r>
        <w:rPr>
          <w:rFonts w:ascii="黑体" w:hAnsi="黑体" w:eastAsia="黑体"/>
          <w:b/>
          <w:sz w:val="24"/>
        </w:rPr>
        <w:t>权重敏感性分析与Max-Min鲁棒模型的建立</w:t>
      </w:r>
    </w:p>
    <w:p>
      <w:pPr>
        <w:spacing w:after="120" w:line="360" w:lineRule="auto"/>
        <w:ind w:firstLine="420"/>
      </w:pPr>
      <w:r>
        <w:rPr>
          <w:rFonts w:ascii="宋体" w:hAnsi="宋体" w:eastAsia="宋体"/>
          <w:b/>
          <w:sz w:val="24"/>
        </w:rPr>
        <w:t>步骤1：加权综合性能与权重扫描。</w:t>
      </w:r>
      <w:r>
        <w:rPr>
          <w:rFonts w:ascii="宋体" w:hAnsi="宋体" w:eastAsia="宋体"/>
          <w:b w:val="0"/>
          <w:sz w:val="24"/>
        </w:rPr>
        <w:t>不同应用场景对三指标重视程度不同，设权重向量$\mathbf{w}=(w_R,w_P,w_T)$位于三维单纯形$\Delta_3=\{\mathbf{w}\geq0,\ \sum w_i=1\}$上，定义加权综合性能</w:t>
      </w:r>
    </w:p>
    <w:p>
      <w:pPr>
        <w:spacing w:after="120" w:line="312" w:lineRule="auto"/>
        <w:jc w:val="center"/>
      </w:pPr>
      <w:r>
        <w:rPr>
          <w:rFonts w:ascii="宋体" w:hAnsi="宋体" w:eastAsia="宋体"/>
          <w:b w:val="0"/>
          <w:sz w:val="24"/>
        </w:rPr>
        <w:t>S(\mathbf{x};\mathbf{w})=w_R\tilde R(\mathbf{x})+w_P\tilde P(\mathbf{x})+w_T\tilde T(\mathbf{x}) \tag{1}</w:t>
      </w:r>
    </w:p>
    <w:p>
      <w:pPr>
        <w:spacing w:after="120" w:line="360" w:lineRule="auto"/>
        <w:ind w:firstLine="420"/>
      </w:pPr>
      <w:r>
        <w:rPr>
          <w:rFonts w:ascii="宋体" w:hAnsi="宋体" w:eastAsia="宋体"/>
          <w:b w:val="0"/>
          <w:sz w:val="24"/>
        </w:rPr>
        <w:t>对单纯形上步长0.1的66个权重点分别求解$\min_{\mathbf{x}}S(\mathbf{x};\mathbf{w})$，得到最优方案$r^*$、$h^*$、$n^*$随权重的漂移规律如图5-13所示。</w:t>
      </w:r>
    </w:p>
    <w:p>
      <w:pPr>
        <w:jc w:val="center"/>
      </w:pPr>
      <w:r>
        <w:drawing>
          <wp:inline xmlns:a="http://schemas.openxmlformats.org/drawingml/2006/main" xmlns:pic="http://schemas.openxmlformats.org/drawingml/2006/picture">
            <wp:extent cx="4860000" cy="3485612"/>
            <wp:docPr id="14" name="Picture 14"/>
            <wp:cNvGraphicFramePr>
              <a:graphicFrameLocks noChangeAspect="1"/>
            </wp:cNvGraphicFramePr>
            <a:graphic>
              <a:graphicData uri="http://schemas.openxmlformats.org/drawingml/2006/picture">
                <pic:pic>
                  <pic:nvPicPr>
                    <pic:cNvPr id="0" name="q4_01_weight_drift.png"/>
                    <pic:cNvPicPr/>
                  </pic:nvPicPr>
                  <pic:blipFill>
                    <a:blip r:embed="rId22"/>
                    <a:stretch>
                      <a:fillRect/>
                    </a:stretch>
                  </pic:blipFill>
                  <pic:spPr>
                    <a:xfrm>
                      <a:off x="0" y="0"/>
                      <a:ext cx="4860000" cy="3485612"/>
                    </a:xfrm>
                    <a:prstGeom prst="rect"/>
                  </pic:spPr>
                </pic:pic>
              </a:graphicData>
            </a:graphic>
          </wp:inline>
        </w:drawing>
      </w:r>
    </w:p>
    <w:p>
      <w:pPr>
        <w:spacing w:after="200" w:line="288" w:lineRule="auto"/>
        <w:jc w:val="center"/>
      </w:pPr>
      <w:r>
        <w:rPr>
          <w:rFonts w:ascii="黑体" w:hAnsi="黑体" w:eastAsia="黑体"/>
          <w:b w:val="0"/>
          <w:sz w:val="21"/>
        </w:rPr>
        <w:t>图5-13 权重扫描下最优方案漂移</w:t>
      </w:r>
    </w:p>
    <w:p>
      <w:pPr>
        <w:spacing w:after="120" w:line="360" w:lineRule="auto"/>
        <w:ind w:firstLine="420"/>
      </w:pPr>
      <w:r>
        <w:rPr>
          <w:rFonts w:ascii="宋体" w:hAnsi="宋体" w:eastAsia="宋体"/>
          <w:b/>
          <w:sz w:val="24"/>
        </w:rPr>
        <w:t>步骤2：Max-Min鲁棒模型的建立。</w:t>
      </w:r>
      <w:r>
        <w:rPr>
          <w:rFonts w:ascii="宋体" w:hAnsi="宋体" w:eastAsia="宋体"/>
          <w:b w:val="0"/>
          <w:sz w:val="24"/>
        </w:rPr>
        <w:t>为使方案"对偏好变化不敏感"，将鲁棒性严格定义为在权重域最坏情形下加权性能最优：</w:t>
      </w:r>
    </w:p>
    <w:p>
      <w:pPr>
        <w:spacing w:after="120" w:line="312" w:lineRule="auto"/>
        <w:jc w:val="center"/>
      </w:pPr>
      <w:r>
        <w:rPr>
          <w:rFonts w:ascii="宋体" w:hAnsi="宋体" w:eastAsia="宋体"/>
          <w:b w:val="0"/>
          <w:sz w:val="24"/>
        </w:rPr>
        <w:t>\mathbf{x}^*=\arg\min_{\mathbf{x}}\ \max_{\mathbf{w}\in\Delta_3} S(\mathbf{x};\mathbf{w}) \tag{2}</w:t>
      </w:r>
    </w:p>
    <w:p>
      <w:pPr>
        <w:spacing w:after="120" w:line="360" w:lineRule="auto"/>
        <w:ind w:firstLine="420"/>
      </w:pPr>
      <w:r>
        <w:rPr>
          <w:rFonts w:ascii="宋体" w:hAnsi="宋体" w:eastAsia="宋体"/>
          <w:b/>
          <w:sz w:val="24"/>
        </w:rPr>
        <w:t>步骤3：顶点闭式约简。</w:t>
      </w:r>
      <w:r>
        <w:rPr>
          <w:rFonts w:ascii="宋体" w:hAnsi="宋体" w:eastAsia="宋体"/>
          <w:b w:val="0"/>
          <w:sz w:val="24"/>
        </w:rPr>
        <w:t>由于$S(\mathbf{x};\mathbf{w})$关于$\mathbf{w}$线性、$\Delta_3$为凸多胞形，线性函数在多胞形上的最大值必在顶点取得，而$\Delta_3$的三个顶点恰为三个纯权重$(1,0,0)$、$(0,1,0)$、$(0,0,1)$，故</w:t>
      </w:r>
    </w:p>
    <w:p>
      <w:pPr>
        <w:spacing w:after="120" w:line="312" w:lineRule="auto"/>
        <w:jc w:val="center"/>
      </w:pPr>
      <w:r>
        <w:rPr>
          <w:rFonts w:ascii="宋体" w:hAnsi="宋体" w:eastAsia="宋体"/>
          <w:b w:val="0"/>
          <w:sz w:val="24"/>
        </w:rPr>
        <w:t>\max_{\mathbf{w}\in\Delta_3} S(\mathbf{x};\mathbf{w})=\max\left\{\tilde R(\mathbf{x}),\tilde P(\mathbf{x}),\tilde T(\mathbf{x})\right\} \tag{3}</w:t>
      </w:r>
    </w:p>
    <w:p>
      <w:pPr>
        <w:spacing w:after="120" w:line="360" w:lineRule="auto"/>
        <w:ind w:firstLine="420"/>
      </w:pPr>
      <w:r>
        <w:rPr>
          <w:rFonts w:ascii="宋体" w:hAnsi="宋体" w:eastAsia="宋体"/>
          <w:b w:val="0"/>
          <w:sz w:val="24"/>
        </w:rPr>
        <w:t>由此双层max-min退化为单层minimax（Chebyshev型）：$\mathbf{x}^*=\arg\min_{\mathbf{x}}\max\{\tilde R,\tilde P,\tilde T\}$，即选择"最差归一化指标最小"的方案。这使原本计算不可行的嵌套双层优化化为标准单层优化，是本节的关键可解性贡献。</w:t>
      </w:r>
    </w:p>
    <w:p>
      <w:pPr>
        <w:spacing w:after="120" w:line="360" w:lineRule="auto"/>
        <w:ind w:firstLine="420"/>
      </w:pPr>
      <w:r>
        <w:rPr>
          <w:rFonts w:ascii="宋体" w:hAnsi="宋体" w:eastAsia="宋体"/>
          <w:b/>
          <w:sz w:val="24"/>
        </w:rPr>
        <w:t>步骤4：鲁棒性评价指标。</w:t>
      </w:r>
      <w:r>
        <w:rPr>
          <w:rFonts w:ascii="宋体" w:hAnsi="宋体" w:eastAsia="宋体"/>
          <w:b w:val="0"/>
          <w:sz w:val="24"/>
        </w:rPr>
        <w:t>除最坏情形分$W=\max\{\tilde R,\tilde P,\tilde T\}$（主判据）外，引入偏好敏感带宽$B=\max-\min\{\tilde R,\tilde P,\tilde T\}$（旁证，刻画三指标均衡度）与均匀偏好期望$E_S=(\tilde R+\tilde P+\tilde T)/3$（兜底典型性能），三者一并报告。</w:t>
      </w:r>
    </w:p>
    <w:p>
      <w:pPr>
        <w:spacing w:after="120" w:line="360" w:lineRule="auto"/>
        <w:ind w:firstLine="420"/>
      </w:pPr>
      <w:r>
        <w:rPr>
          <w:rFonts w:ascii="宋体" w:hAnsi="宋体" w:eastAsia="宋体"/>
          <w:b/>
          <w:sz w:val="24"/>
        </w:rPr>
        <w:t>步骤5：场景权重箱。</w:t>
      </w:r>
      <w:r>
        <w:rPr>
          <w:rFonts w:ascii="宋体" w:hAnsi="宋体" w:eastAsia="宋体"/>
          <w:b w:val="0"/>
          <w:sz w:val="24"/>
        </w:rPr>
        <w:t>为刻画更实际的分场景需求，构造三个权重箱：高算力场景（$w_R$主导，$w_R\in[0.4,0.7]$）、低功耗场景（$w_P$主导）、高可靠场景（$w_T$主导），各箱4个顶点，跨场景鲁棒取三箱并集12顶点，分别在箱上求解最坏情形性能最优方案。</w:t>
      </w:r>
    </w:p>
    <w:p>
      <w:pPr>
        <w:spacing w:before="160" w:after="120"/>
      </w:pPr>
      <w:r>
        <w:rPr>
          <w:rFonts w:ascii="黑体" w:hAnsi="黑体" w:eastAsia="黑体"/>
          <w:b/>
          <w:sz w:val="24"/>
        </w:rPr>
        <w:t>模型的求解</w:t>
      </w:r>
    </w:p>
    <w:p>
      <w:pPr>
        <w:spacing w:after="120" w:line="360" w:lineRule="auto"/>
        <w:ind w:firstLine="420"/>
      </w:pPr>
      <w:r>
        <w:rPr>
          <w:rFonts w:ascii="宋体" w:hAnsi="宋体" w:eastAsia="宋体"/>
          <w:b w:val="0"/>
          <w:sz w:val="24"/>
        </w:rPr>
        <w:t>全域Minimax问题（式(3)约简后）与各场景箱问题采用差分进化（DE）多随机种子（42/7/123）求解并取最优，辅以候选网格＋L-BFGS-B局部精化交叉验证；$n$连续化求解后就近取可行偶数并用代理复算校正。权重扫描在66点单纯形网格上枚举＋局部精化完成。</w:t>
      </w:r>
    </w:p>
    <w:p>
      <w:pPr>
        <w:spacing w:before="160" w:after="120"/>
      </w:pPr>
      <w:r>
        <w:rPr>
          <w:rFonts w:ascii="黑体" w:hAnsi="黑体" w:eastAsia="黑体"/>
          <w:b/>
          <w:sz w:val="24"/>
        </w:rPr>
        <w:t>模型的检验</w:t>
      </w:r>
    </w:p>
    <w:p>
      <w:pPr>
        <w:spacing w:after="120" w:line="360" w:lineRule="auto"/>
        <w:ind w:firstLine="420"/>
      </w:pPr>
      <w:r>
        <w:rPr>
          <w:rFonts w:ascii="宋体" w:hAnsi="宋体" w:eastAsia="宋体"/>
          <w:b w:val="0"/>
          <w:sz w:val="24"/>
        </w:rPr>
        <w:t>从四方面检验鲁棒方案的可靠性。一是顶点约简有效性：全域最坏情形分直接取$\max\{\tilde R,\tilde P,\tilde T\}$，与DE在各顶点复算一致；二是求解交叉验证：DE多seed与网格精化两条路径给出相同或近似方案；三是三方案对比：全域Max-Min鲁棒方案与问题三的熵权TOPSIS方案、等权重标量化方案在$W$、$B$、$E_S$上对比（表5-4），主判据与旁证相互印证；四是场景鲁棒性：各场景箱方案在自身箱与跨场景箱下的最坏情形分均合理（图5-16）。</w:t>
      </w:r>
    </w:p>
    <w:p>
      <w:pPr>
        <w:spacing w:before="160" w:after="120"/>
      </w:pPr>
      <w:r>
        <w:rPr>
          <w:rFonts w:ascii="黑体" w:hAnsi="黑体" w:eastAsia="黑体"/>
          <w:b/>
          <w:sz w:val="24"/>
        </w:rPr>
        <w:t>结果分析</w:t>
      </w:r>
    </w:p>
    <w:p>
      <w:pPr>
        <w:spacing w:after="120" w:line="360" w:lineRule="auto"/>
        <w:ind w:firstLine="420"/>
      </w:pPr>
      <w:r>
        <w:rPr>
          <w:rFonts w:ascii="宋体" w:hAnsi="宋体" w:eastAsia="宋体"/>
          <w:b w:val="0"/>
          <w:sz w:val="24"/>
        </w:rPr>
        <w:t>三方案的鲁棒性对比如表5-4、图5-14与图5-15所示。</w:t>
      </w:r>
    </w:p>
    <w:p>
      <w:pPr>
        <w:spacing w:after="120" w:line="360" w:lineRule="auto"/>
        <w:ind w:firstLine="420"/>
      </w:pPr>
      <w:r>
        <w:rPr>
          <w:rFonts w:ascii="宋体" w:hAnsi="宋体" w:eastAsia="宋体"/>
          <w:b/>
          <w:sz w:val="24"/>
        </w:rPr>
        <w:t>表5-4 三种方案鲁棒性对比</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907"/>
        <w:gridCol w:w="907"/>
        <w:gridCol w:w="907"/>
        <w:gridCol w:w="907"/>
        <w:gridCol w:w="907"/>
        <w:gridCol w:w="907"/>
        <w:gridCol w:w="907"/>
        <w:gridCol w:w="907"/>
        <w:gridCol w:w="907"/>
        <w:gridCol w:w="907"/>
      </w:tblGrid>
      <w:tr>
        <w:tc>
          <w:tcPr>
            <w:tcW w:type="dxa" w:w="907"/>
            <w:tcBorders>
              <w:bottom w:val="single" w:sz="6" w:color="000000"/>
            </w:tcBorders>
          </w:tcPr>
          <w:p>
            <w:pPr>
              <w:jc w:val="center"/>
            </w:pPr>
            <w:r/>
            <w:r>
              <w:rPr>
                <w:rFonts w:ascii="宋体" w:hAnsi="宋体" w:eastAsia="宋体"/>
                <w:b/>
                <w:sz w:val="21"/>
              </w:rPr>
              <w:t>方案</w:t>
            </w:r>
          </w:p>
        </w:tc>
        <w:tc>
          <w:tcPr>
            <w:tcW w:type="dxa" w:w="907"/>
            <w:tcBorders>
              <w:bottom w:val="single" w:sz="6" w:color="000000"/>
            </w:tcBorders>
          </w:tcPr>
          <w:p>
            <w:pPr>
              <w:jc w:val="center"/>
            </w:pPr>
            <w:r/>
            <w:r>
              <w:rPr>
                <w:rFonts w:ascii="宋体" w:hAnsi="宋体" w:eastAsia="宋体"/>
                <w:b/>
                <w:sz w:val="21"/>
              </w:rPr>
              <w:t>$r$</w:t>
            </w:r>
          </w:p>
        </w:tc>
        <w:tc>
          <w:tcPr>
            <w:tcW w:type="dxa" w:w="907"/>
            <w:tcBorders>
              <w:bottom w:val="single" w:sz="6" w:color="000000"/>
            </w:tcBorders>
          </w:tcPr>
          <w:p>
            <w:pPr>
              <w:jc w:val="center"/>
            </w:pPr>
            <w:r/>
            <w:r>
              <w:rPr>
                <w:rFonts w:ascii="宋体" w:hAnsi="宋体" w:eastAsia="宋体"/>
                <w:b/>
                <w:sz w:val="21"/>
              </w:rPr>
              <w:t>$h$</w:t>
            </w:r>
          </w:p>
        </w:tc>
        <w:tc>
          <w:tcPr>
            <w:tcW w:type="dxa" w:w="907"/>
            <w:tcBorders>
              <w:bottom w:val="single" w:sz="6" w:color="000000"/>
            </w:tcBorders>
          </w:tcPr>
          <w:p>
            <w:pPr>
              <w:jc w:val="center"/>
            </w:pPr>
            <w:r/>
            <w:r>
              <w:rPr>
                <w:rFonts w:ascii="宋体" w:hAnsi="宋体" w:eastAsia="宋体"/>
                <w:b/>
                <w:sz w:val="21"/>
              </w:rPr>
              <w:t>$n$</w:t>
            </w:r>
          </w:p>
        </w:tc>
        <w:tc>
          <w:tcPr>
            <w:tcW w:type="dxa" w:w="907"/>
            <w:tcBorders>
              <w:bottom w:val="single" w:sz="6" w:color="000000"/>
            </w:tcBorders>
          </w:tcPr>
          <w:p>
            <w:pPr>
              <w:jc w:val="center"/>
            </w:pPr>
            <w:r/>
            <w:r>
              <w:rPr>
                <w:rFonts w:ascii="宋体" w:hAnsi="宋体" w:eastAsia="宋体"/>
                <w:b/>
                <w:sz w:val="21"/>
              </w:rPr>
              <w:t>$R$</w:t>
            </w:r>
          </w:p>
        </w:tc>
        <w:tc>
          <w:tcPr>
            <w:tcW w:type="dxa" w:w="907"/>
            <w:tcBorders>
              <w:bottom w:val="single" w:sz="6" w:color="000000"/>
            </w:tcBorders>
          </w:tcPr>
          <w:p>
            <w:pPr>
              <w:jc w:val="center"/>
            </w:pPr>
            <w:r/>
            <w:r>
              <w:rPr>
                <w:rFonts w:ascii="宋体" w:hAnsi="宋体" w:eastAsia="宋体"/>
                <w:b/>
                <w:sz w:val="21"/>
              </w:rPr>
              <w:t>$P$</w:t>
            </w:r>
          </w:p>
        </w:tc>
        <w:tc>
          <w:tcPr>
            <w:tcW w:type="dxa" w:w="907"/>
            <w:tcBorders>
              <w:bottom w:val="single" w:sz="6" w:color="000000"/>
            </w:tcBorders>
          </w:tcPr>
          <w:p>
            <w:pPr>
              <w:jc w:val="center"/>
            </w:pPr>
            <w:r/>
            <w:r>
              <w:rPr>
                <w:rFonts w:ascii="宋体" w:hAnsi="宋体" w:eastAsia="宋体"/>
                <w:b/>
                <w:sz w:val="21"/>
              </w:rPr>
              <w:t>$T$</w:t>
            </w:r>
          </w:p>
        </w:tc>
        <w:tc>
          <w:tcPr>
            <w:tcW w:type="dxa" w:w="907"/>
            <w:tcBorders>
              <w:bottom w:val="single" w:sz="6" w:color="000000"/>
            </w:tcBorders>
          </w:tcPr>
          <w:p>
            <w:pPr>
              <w:jc w:val="center"/>
            </w:pPr>
            <w:r/>
            <w:r>
              <w:rPr>
                <w:rFonts w:ascii="宋体" w:hAnsi="宋体" w:eastAsia="宋体"/>
                <w:b/>
                <w:sz w:val="21"/>
              </w:rPr>
              <w:t>$W$</w:t>
            </w:r>
          </w:p>
        </w:tc>
        <w:tc>
          <w:tcPr>
            <w:tcW w:type="dxa" w:w="907"/>
            <w:tcBorders>
              <w:bottom w:val="single" w:sz="6" w:color="000000"/>
            </w:tcBorders>
          </w:tcPr>
          <w:p>
            <w:pPr>
              <w:jc w:val="center"/>
            </w:pPr>
            <w:r/>
            <w:r>
              <w:rPr>
                <w:rFonts w:ascii="宋体" w:hAnsi="宋体" w:eastAsia="宋体"/>
                <w:b/>
                <w:sz w:val="21"/>
              </w:rPr>
              <w:t>$B$</w:t>
            </w:r>
          </w:p>
        </w:tc>
        <w:tc>
          <w:tcPr>
            <w:tcW w:type="dxa" w:w="907"/>
            <w:tcBorders>
              <w:bottom w:val="single" w:sz="6" w:color="000000"/>
            </w:tcBorders>
          </w:tcPr>
          <w:p>
            <w:pPr>
              <w:jc w:val="center"/>
            </w:pPr>
            <w:r/>
            <w:r>
              <w:rPr>
                <w:rFonts w:ascii="宋体" w:hAnsi="宋体" w:eastAsia="宋体"/>
                <w:b/>
                <w:sz w:val="21"/>
              </w:rPr>
              <w:t>$E_S$</w:t>
            </w:r>
          </w:p>
        </w:tc>
      </w:tr>
      <w:tr>
        <w:tc>
          <w:tcPr>
            <w:tcW w:type="dxa" w:w="907"/>
          </w:tcPr>
          <w:p>
            <w:pPr>
              <w:jc w:val="center"/>
            </w:pPr>
            <w:r/>
            <w:r>
              <w:rPr>
                <w:rFonts w:ascii="宋体" w:hAnsi="宋体" w:eastAsia="宋体"/>
                <w:sz w:val="21"/>
              </w:rPr>
              <w:t>**全域Max-Min鲁棒**</w:t>
            </w:r>
          </w:p>
        </w:tc>
        <w:tc>
          <w:tcPr>
            <w:tcW w:type="dxa" w:w="907"/>
          </w:tcPr>
          <w:p>
            <w:pPr>
              <w:jc w:val="center"/>
            </w:pPr>
            <w:r/>
            <w:r>
              <w:rPr>
                <w:rFonts w:ascii="宋体" w:hAnsi="宋体" w:eastAsia="宋体"/>
                <w:sz w:val="21"/>
              </w:rPr>
              <w:t>**0.2364**</w:t>
            </w:r>
          </w:p>
        </w:tc>
        <w:tc>
          <w:tcPr>
            <w:tcW w:type="dxa" w:w="907"/>
          </w:tcPr>
          <w:p>
            <w:pPr>
              <w:jc w:val="center"/>
            </w:pPr>
            <w:r/>
            <w:r>
              <w:rPr>
                <w:rFonts w:ascii="宋体" w:hAnsi="宋体" w:eastAsia="宋体"/>
                <w:sz w:val="21"/>
              </w:rPr>
              <w:t>**4.50**</w:t>
            </w:r>
          </w:p>
        </w:tc>
        <w:tc>
          <w:tcPr>
            <w:tcW w:type="dxa" w:w="907"/>
          </w:tcPr>
          <w:p>
            <w:pPr>
              <w:jc w:val="center"/>
            </w:pPr>
            <w:r/>
            <w:r>
              <w:rPr>
                <w:rFonts w:ascii="宋体" w:hAnsi="宋体" w:eastAsia="宋体"/>
                <w:sz w:val="21"/>
              </w:rPr>
              <w:t>**6**</w:t>
            </w:r>
          </w:p>
        </w:tc>
        <w:tc>
          <w:tcPr>
            <w:tcW w:type="dxa" w:w="907"/>
          </w:tcPr>
          <w:p>
            <w:pPr>
              <w:jc w:val="center"/>
            </w:pPr>
            <w:r/>
            <w:r>
              <w:rPr>
                <w:rFonts w:ascii="宋体" w:hAnsi="宋体" w:eastAsia="宋体"/>
                <w:sz w:val="21"/>
              </w:rPr>
              <w:t>**0.7343**</w:t>
            </w:r>
          </w:p>
        </w:tc>
        <w:tc>
          <w:tcPr>
            <w:tcW w:type="dxa" w:w="907"/>
          </w:tcPr>
          <w:p>
            <w:pPr>
              <w:jc w:val="center"/>
            </w:pPr>
            <w:r/>
            <w:r>
              <w:rPr>
                <w:rFonts w:ascii="宋体" w:hAnsi="宋体" w:eastAsia="宋体"/>
                <w:sz w:val="21"/>
              </w:rPr>
              <w:t>**0.1013**</w:t>
            </w:r>
          </w:p>
        </w:tc>
        <w:tc>
          <w:tcPr>
            <w:tcW w:type="dxa" w:w="907"/>
          </w:tcPr>
          <w:p>
            <w:pPr>
              <w:jc w:val="center"/>
            </w:pPr>
            <w:r/>
            <w:r>
              <w:rPr>
                <w:rFonts w:ascii="宋体" w:hAnsi="宋体" w:eastAsia="宋体"/>
                <w:sz w:val="21"/>
              </w:rPr>
              <w:t>**0.7917**</w:t>
            </w:r>
          </w:p>
        </w:tc>
        <w:tc>
          <w:tcPr>
            <w:tcW w:type="dxa" w:w="907"/>
          </w:tcPr>
          <w:p>
            <w:pPr>
              <w:jc w:val="center"/>
            </w:pPr>
            <w:r/>
            <w:r>
              <w:rPr>
                <w:rFonts w:ascii="宋体" w:hAnsi="宋体" w:eastAsia="宋体"/>
                <w:sz w:val="21"/>
              </w:rPr>
              <w:t>**0.2380**</w:t>
            </w:r>
          </w:p>
        </w:tc>
        <w:tc>
          <w:tcPr>
            <w:tcW w:type="dxa" w:w="907"/>
          </w:tcPr>
          <w:p>
            <w:pPr>
              <w:jc w:val="center"/>
            </w:pPr>
            <w:r/>
            <w:r>
              <w:rPr>
                <w:rFonts w:ascii="宋体" w:hAnsi="宋体" w:eastAsia="宋体"/>
                <w:sz w:val="21"/>
              </w:rPr>
              <w:t>**0.0590**</w:t>
            </w:r>
          </w:p>
        </w:tc>
        <w:tc>
          <w:tcPr>
            <w:tcW w:type="dxa" w:w="907"/>
          </w:tcPr>
          <w:p>
            <w:pPr>
              <w:jc w:val="center"/>
            </w:pPr>
            <w:r/>
            <w:r>
              <w:rPr>
                <w:rFonts w:ascii="宋体" w:hAnsi="宋体" w:eastAsia="宋体"/>
                <w:sz w:val="21"/>
              </w:rPr>
              <w:t>**0.2033**</w:t>
            </w:r>
          </w:p>
        </w:tc>
      </w:tr>
      <w:tr>
        <w:tc>
          <w:tcPr>
            <w:tcW w:type="dxa" w:w="907"/>
          </w:tcPr>
          <w:p>
            <w:pPr>
              <w:jc w:val="center"/>
            </w:pPr>
            <w:r/>
            <w:r>
              <w:rPr>
                <w:rFonts w:ascii="宋体" w:hAnsi="宋体" w:eastAsia="宋体"/>
                <w:sz w:val="21"/>
              </w:rPr>
              <w:t>熵权TOPSIS（Q3）</w:t>
            </w:r>
          </w:p>
        </w:tc>
        <w:tc>
          <w:tcPr>
            <w:tcW w:type="dxa" w:w="907"/>
          </w:tcPr>
          <w:p>
            <w:pPr>
              <w:jc w:val="center"/>
            </w:pPr>
            <w:r/>
            <w:r>
              <w:rPr>
                <w:rFonts w:ascii="宋体" w:hAnsi="宋体" w:eastAsia="宋体"/>
                <w:sz w:val="21"/>
              </w:rPr>
              <w:t>0.2148</w:t>
            </w:r>
          </w:p>
        </w:tc>
        <w:tc>
          <w:tcPr>
            <w:tcW w:type="dxa" w:w="907"/>
          </w:tcPr>
          <w:p>
            <w:pPr>
              <w:jc w:val="center"/>
            </w:pPr>
            <w:r/>
            <w:r>
              <w:rPr>
                <w:rFonts w:ascii="宋体" w:hAnsi="宋体" w:eastAsia="宋体"/>
                <w:sz w:val="21"/>
              </w:rPr>
              <w:t>4.50</w:t>
            </w:r>
          </w:p>
        </w:tc>
        <w:tc>
          <w:tcPr>
            <w:tcW w:type="dxa" w:w="907"/>
          </w:tcPr>
          <w:p>
            <w:pPr>
              <w:jc w:val="center"/>
            </w:pPr>
            <w:r/>
            <w:r>
              <w:rPr>
                <w:rFonts w:ascii="宋体" w:hAnsi="宋体" w:eastAsia="宋体"/>
                <w:sz w:val="21"/>
              </w:rPr>
              <w:t>6</w:t>
            </w:r>
          </w:p>
        </w:tc>
        <w:tc>
          <w:tcPr>
            <w:tcW w:type="dxa" w:w="907"/>
          </w:tcPr>
          <w:p>
            <w:pPr>
              <w:jc w:val="center"/>
            </w:pPr>
            <w:r/>
            <w:r>
              <w:rPr>
                <w:rFonts w:ascii="宋体" w:hAnsi="宋体" w:eastAsia="宋体"/>
                <w:sz w:val="21"/>
              </w:rPr>
              <w:t>0.7351</w:t>
            </w:r>
          </w:p>
        </w:tc>
        <w:tc>
          <w:tcPr>
            <w:tcW w:type="dxa" w:w="907"/>
          </w:tcPr>
          <w:p>
            <w:pPr>
              <w:jc w:val="center"/>
            </w:pPr>
            <w:r/>
            <w:r>
              <w:rPr>
                <w:rFonts w:ascii="宋体" w:hAnsi="宋体" w:eastAsia="宋体"/>
                <w:sz w:val="21"/>
              </w:rPr>
              <w:t>0.0961</w:t>
            </w:r>
          </w:p>
        </w:tc>
        <w:tc>
          <w:tcPr>
            <w:tcW w:type="dxa" w:w="907"/>
          </w:tcPr>
          <w:p>
            <w:pPr>
              <w:jc w:val="center"/>
            </w:pPr>
            <w:r/>
            <w:r>
              <w:rPr>
                <w:rFonts w:ascii="宋体" w:hAnsi="宋体" w:eastAsia="宋体"/>
                <w:sz w:val="21"/>
              </w:rPr>
              <w:t>0.7908</w:t>
            </w:r>
          </w:p>
        </w:tc>
        <w:tc>
          <w:tcPr>
            <w:tcW w:type="dxa" w:w="907"/>
          </w:tcPr>
          <w:p>
            <w:pPr>
              <w:jc w:val="center"/>
            </w:pPr>
            <w:r/>
            <w:r>
              <w:rPr>
                <w:rFonts w:ascii="宋体" w:hAnsi="宋体" w:eastAsia="宋体"/>
                <w:sz w:val="21"/>
              </w:rPr>
              <w:t>0.2546</w:t>
            </w:r>
          </w:p>
        </w:tc>
        <w:tc>
          <w:tcPr>
            <w:tcW w:type="dxa" w:w="907"/>
          </w:tcPr>
          <w:p>
            <w:pPr>
              <w:jc w:val="center"/>
            </w:pPr>
            <w:r/>
            <w:r>
              <w:rPr>
                <w:rFonts w:ascii="宋体" w:hAnsi="宋体" w:eastAsia="宋体"/>
                <w:sz w:val="21"/>
              </w:rPr>
              <w:t>0.1021</w:t>
            </w:r>
          </w:p>
        </w:tc>
        <w:tc>
          <w:tcPr>
            <w:tcW w:type="dxa" w:w="907"/>
          </w:tcPr>
          <w:p>
            <w:pPr>
              <w:jc w:val="center"/>
            </w:pPr>
            <w:r/>
            <w:r>
              <w:rPr>
                <w:rFonts w:ascii="宋体" w:hAnsi="宋体" w:eastAsia="宋体"/>
                <w:sz w:val="21"/>
              </w:rPr>
              <w:t>0.1921</w:t>
            </w:r>
          </w:p>
        </w:tc>
      </w:tr>
      <w:tr>
        <w:tc>
          <w:tcPr>
            <w:tcW w:type="dxa" w:w="907"/>
          </w:tcPr>
          <w:p>
            <w:pPr>
              <w:jc w:val="center"/>
            </w:pPr>
            <w:r/>
            <w:r>
              <w:rPr>
                <w:rFonts w:ascii="宋体" w:hAnsi="宋体" w:eastAsia="宋体"/>
                <w:sz w:val="21"/>
              </w:rPr>
              <w:t>等权重标量化（Q3）</w:t>
            </w:r>
          </w:p>
        </w:tc>
        <w:tc>
          <w:tcPr>
            <w:tcW w:type="dxa" w:w="907"/>
          </w:tcPr>
          <w:p>
            <w:pPr>
              <w:jc w:val="center"/>
            </w:pPr>
            <w:r/>
            <w:r>
              <w:rPr>
                <w:rFonts w:ascii="宋体" w:hAnsi="宋体" w:eastAsia="宋体"/>
                <w:sz w:val="21"/>
              </w:rPr>
              <w:t>0.2169</w:t>
            </w:r>
          </w:p>
        </w:tc>
        <w:tc>
          <w:tcPr>
            <w:tcW w:type="dxa" w:w="907"/>
          </w:tcPr>
          <w:p>
            <w:pPr>
              <w:jc w:val="center"/>
            </w:pPr>
            <w:r/>
            <w:r>
              <w:rPr>
                <w:rFonts w:ascii="宋体" w:hAnsi="宋体" w:eastAsia="宋体"/>
                <w:sz w:val="21"/>
              </w:rPr>
              <w:t>4.50</w:t>
            </w:r>
          </w:p>
        </w:tc>
        <w:tc>
          <w:tcPr>
            <w:tcW w:type="dxa" w:w="907"/>
          </w:tcPr>
          <w:p>
            <w:pPr>
              <w:jc w:val="center"/>
            </w:pPr>
            <w:r/>
            <w:r>
              <w:rPr>
                <w:rFonts w:ascii="宋体" w:hAnsi="宋体" w:eastAsia="宋体"/>
                <w:sz w:val="21"/>
              </w:rPr>
              <w:t>4</w:t>
            </w:r>
          </w:p>
        </w:tc>
        <w:tc>
          <w:tcPr>
            <w:tcW w:type="dxa" w:w="907"/>
          </w:tcPr>
          <w:p>
            <w:pPr>
              <w:jc w:val="center"/>
            </w:pPr>
            <w:r/>
            <w:r>
              <w:rPr>
                <w:rFonts w:ascii="宋体" w:hAnsi="宋体" w:eastAsia="宋体"/>
                <w:sz w:val="21"/>
              </w:rPr>
              <w:t>0.7414</w:t>
            </w:r>
          </w:p>
        </w:tc>
        <w:tc>
          <w:tcPr>
            <w:tcW w:type="dxa" w:w="907"/>
          </w:tcPr>
          <w:p>
            <w:pPr>
              <w:jc w:val="center"/>
            </w:pPr>
            <w:r/>
            <w:r>
              <w:rPr>
                <w:rFonts w:ascii="宋体" w:hAnsi="宋体" w:eastAsia="宋体"/>
                <w:sz w:val="21"/>
              </w:rPr>
              <w:t>0.0845</w:t>
            </w:r>
          </w:p>
        </w:tc>
        <w:tc>
          <w:tcPr>
            <w:tcW w:type="dxa" w:w="907"/>
          </w:tcPr>
          <w:p>
            <w:pPr>
              <w:jc w:val="center"/>
            </w:pPr>
            <w:r/>
            <w:r>
              <w:rPr>
                <w:rFonts w:ascii="宋体" w:hAnsi="宋体" w:eastAsia="宋体"/>
                <w:sz w:val="21"/>
              </w:rPr>
              <w:t>0.7723</w:t>
            </w:r>
          </w:p>
        </w:tc>
        <w:tc>
          <w:tcPr>
            <w:tcW w:type="dxa" w:w="907"/>
          </w:tcPr>
          <w:p>
            <w:pPr>
              <w:jc w:val="center"/>
            </w:pPr>
            <w:r/>
            <w:r>
              <w:rPr>
                <w:rFonts w:ascii="宋体" w:hAnsi="宋体" w:eastAsia="宋体"/>
                <w:sz w:val="21"/>
              </w:rPr>
              <w:t>0.3748</w:t>
            </w:r>
          </w:p>
        </w:tc>
        <w:tc>
          <w:tcPr>
            <w:tcW w:type="dxa" w:w="907"/>
          </w:tcPr>
          <w:p>
            <w:pPr>
              <w:jc w:val="center"/>
            </w:pPr>
            <w:r/>
            <w:r>
              <w:rPr>
                <w:rFonts w:ascii="宋体" w:hAnsi="宋体" w:eastAsia="宋体"/>
                <w:sz w:val="21"/>
              </w:rPr>
              <w:t>0.3748</w:t>
            </w:r>
          </w:p>
        </w:tc>
        <w:tc>
          <w:tcPr>
            <w:tcW w:type="dxa" w:w="907"/>
          </w:tcPr>
          <w:p>
            <w:pPr>
              <w:jc w:val="center"/>
            </w:pPr>
            <w:r/>
            <w:r>
              <w:rPr>
                <w:rFonts w:ascii="宋体" w:hAnsi="宋体" w:eastAsia="宋体"/>
                <w:sz w:val="21"/>
              </w:rPr>
              <w:t>0.1454</w:t>
            </w:r>
          </w:p>
        </w:tc>
      </w:tr>
    </w:tbl>
    <w:p>
      <w:pPr>
        <w:jc w:val="center"/>
      </w:pPr>
      <w:r>
        <w:drawing>
          <wp:inline xmlns:a="http://schemas.openxmlformats.org/drawingml/2006/main" xmlns:pic="http://schemas.openxmlformats.org/drawingml/2006/picture">
            <wp:extent cx="4860000" cy="3627049"/>
            <wp:docPr id="15" name="Picture 15"/>
            <wp:cNvGraphicFramePr>
              <a:graphicFrameLocks noChangeAspect="1"/>
            </wp:cNvGraphicFramePr>
            <a:graphic>
              <a:graphicData uri="http://schemas.openxmlformats.org/drawingml/2006/picture">
                <pic:pic>
                  <pic:nvPicPr>
                    <pic:cNvPr id="0" name="q4_02_robustness_tradeoff.png"/>
                    <pic:cNvPicPr/>
                  </pic:nvPicPr>
                  <pic:blipFill>
                    <a:blip r:embed="rId23"/>
                    <a:stretch>
                      <a:fillRect/>
                    </a:stretch>
                  </pic:blipFill>
                  <pic:spPr>
                    <a:xfrm>
                      <a:off x="0" y="0"/>
                      <a:ext cx="4860000" cy="3627049"/>
                    </a:xfrm>
                    <a:prstGeom prst="rect"/>
                  </pic:spPr>
                </pic:pic>
              </a:graphicData>
            </a:graphic>
          </wp:inline>
        </w:drawing>
      </w:r>
    </w:p>
    <w:p>
      <w:pPr>
        <w:spacing w:after="200" w:line="288" w:lineRule="auto"/>
        <w:jc w:val="center"/>
      </w:pPr>
      <w:r>
        <w:rPr>
          <w:rFonts w:ascii="黑体" w:hAnsi="黑体" w:eastAsia="黑体"/>
          <w:b w:val="0"/>
          <w:sz w:val="21"/>
        </w:rPr>
        <w:t>图5-14 鲁棒方案三指标与最坏情形性能分布</w:t>
      </w:r>
    </w:p>
    <w:p>
      <w:pPr>
        <w:jc w:val="center"/>
      </w:pPr>
      <w:r>
        <w:drawing>
          <wp:inline xmlns:a="http://schemas.openxmlformats.org/drawingml/2006/main" xmlns:pic="http://schemas.openxmlformats.org/drawingml/2006/picture">
            <wp:extent cx="4860000" cy="1433047"/>
            <wp:docPr id="16" name="Picture 16"/>
            <wp:cNvGraphicFramePr>
              <a:graphicFrameLocks noChangeAspect="1"/>
            </wp:cNvGraphicFramePr>
            <a:graphic>
              <a:graphicData uri="http://schemas.openxmlformats.org/drawingml/2006/picture">
                <pic:pic>
                  <pic:nvPicPr>
                    <pic:cNvPr id="0" name="q4_03_scheme_compare.png"/>
                    <pic:cNvPicPr/>
                  </pic:nvPicPr>
                  <pic:blipFill>
                    <a:blip r:embed="rId24"/>
                    <a:stretch>
                      <a:fillRect/>
                    </a:stretch>
                  </pic:blipFill>
                  <pic:spPr>
                    <a:xfrm>
                      <a:off x="0" y="0"/>
                      <a:ext cx="4860000" cy="1433047"/>
                    </a:xfrm>
                    <a:prstGeom prst="rect"/>
                  </pic:spPr>
                </pic:pic>
              </a:graphicData>
            </a:graphic>
          </wp:inline>
        </w:drawing>
      </w:r>
    </w:p>
    <w:p>
      <w:pPr>
        <w:spacing w:after="200" w:line="288" w:lineRule="auto"/>
        <w:jc w:val="center"/>
      </w:pPr>
      <w:r>
        <w:rPr>
          <w:rFonts w:ascii="黑体" w:hAnsi="黑体" w:eastAsia="黑体"/>
          <w:b w:val="0"/>
          <w:sz w:val="21"/>
        </w:rPr>
        <w:t>图5-15 三种方案三指标对比</w:t>
      </w:r>
    </w:p>
    <w:p>
      <w:pPr>
        <w:jc w:val="center"/>
      </w:pPr>
      <w:r>
        <w:drawing>
          <wp:inline xmlns:a="http://schemas.openxmlformats.org/drawingml/2006/main" xmlns:pic="http://schemas.openxmlformats.org/drawingml/2006/picture">
            <wp:extent cx="4860000" cy="2562876"/>
            <wp:docPr id="17" name="Picture 17"/>
            <wp:cNvGraphicFramePr>
              <a:graphicFrameLocks noChangeAspect="1"/>
            </wp:cNvGraphicFramePr>
            <a:graphic>
              <a:graphicData uri="http://schemas.openxmlformats.org/drawingml/2006/picture">
                <pic:pic>
                  <pic:nvPicPr>
                    <pic:cNvPr id="0" name="q4_04_wbe_compare.png"/>
                    <pic:cNvPicPr/>
                  </pic:nvPicPr>
                  <pic:blipFill>
                    <a:blip r:embed="rId25"/>
                    <a:stretch>
                      <a:fillRect/>
                    </a:stretch>
                  </pic:blipFill>
                  <pic:spPr>
                    <a:xfrm>
                      <a:off x="0" y="0"/>
                      <a:ext cx="4860000" cy="2562876"/>
                    </a:xfrm>
                    <a:prstGeom prst="rect"/>
                  </pic:spPr>
                </pic:pic>
              </a:graphicData>
            </a:graphic>
          </wp:inline>
        </w:drawing>
      </w:r>
    </w:p>
    <w:p>
      <w:pPr>
        <w:spacing w:after="200" w:line="288" w:lineRule="auto"/>
        <w:jc w:val="center"/>
      </w:pPr>
      <w:r>
        <w:rPr>
          <w:rFonts w:ascii="黑体" w:hAnsi="黑体" w:eastAsia="黑体"/>
          <w:b w:val="0"/>
          <w:sz w:val="21"/>
        </w:rPr>
        <w:t>图5-16 各方案最坏情形分/带宽/均匀期望对比</w:t>
      </w:r>
    </w:p>
    <w:p>
      <w:pPr>
        <w:spacing w:after="120" w:line="360" w:lineRule="auto"/>
        <w:ind w:firstLine="420"/>
      </w:pPr>
      <w:r>
        <w:rPr>
          <w:rFonts w:ascii="宋体" w:hAnsi="宋体" w:eastAsia="宋体"/>
          <w:b w:val="0"/>
          <w:sz w:val="24"/>
        </w:rPr>
        <w:t>全域Max-Min鲁棒方案为$r^*=0.2364$、$h^*=4.50$、$n^*=6$，对应$R=0.7343$、$P=0.1013$、$T=0.7917$。其最坏情形分$W=0.2380$与偏好敏感带宽$B=0.0590$均为三方案最小，均匀期望$E_S=0.2033$仅略逊于TOPSIS方案，表明该方案对偏好权重变化最不敏感且不显著牺牲典型性能，鲁棒性代价有限。权重扫描（图5-13）显示：$w_R$主导时方案偏向低热阻（$r$偏大、$h$取3.0~3.6、$n$取大），$w_P$主导时偏向低压降（$h$取上界4.5、$n=4$、$r$中等），$w_T$主导时偏向低非均匀性（$r\approx0.216$、$h$中等、$n=4$）；$r^*$、$n^*$随权重漂移明显（CV约0.16、0.50），反映$R$—$P$—$T$根本权衡，而全域Max-Min方案落于三者折衷点、带宽最小。</w:t>
      </w:r>
    </w:p>
    <w:p>
      <w:pPr>
        <w:jc w:val="center"/>
      </w:pPr>
      <w:r>
        <w:drawing>
          <wp:inline xmlns:a="http://schemas.openxmlformats.org/drawingml/2006/main" xmlns:pic="http://schemas.openxmlformats.org/drawingml/2006/picture">
            <wp:extent cx="4860000" cy="4979763"/>
            <wp:docPr id="18" name="Picture 18"/>
            <wp:cNvGraphicFramePr>
              <a:graphicFrameLocks noChangeAspect="1"/>
            </wp:cNvGraphicFramePr>
            <a:graphic>
              <a:graphicData uri="http://schemas.openxmlformats.org/drawingml/2006/picture">
                <pic:pic>
                  <pic:nvPicPr>
                    <pic:cNvPr id="0" name="q4_05_scenario_boxes.png"/>
                    <pic:cNvPicPr/>
                  </pic:nvPicPr>
                  <pic:blipFill>
                    <a:blip r:embed="rId26"/>
                    <a:stretch>
                      <a:fillRect/>
                    </a:stretch>
                  </pic:blipFill>
                  <pic:spPr>
                    <a:xfrm>
                      <a:off x="0" y="0"/>
                      <a:ext cx="4860000" cy="4979763"/>
                    </a:xfrm>
                    <a:prstGeom prst="rect"/>
                  </pic:spPr>
                </pic:pic>
              </a:graphicData>
            </a:graphic>
          </wp:inline>
        </w:drawing>
      </w:r>
    </w:p>
    <w:p>
      <w:pPr>
        <w:spacing w:after="200" w:line="288" w:lineRule="auto"/>
        <w:jc w:val="center"/>
      </w:pPr>
      <w:r>
        <w:rPr>
          <w:rFonts w:ascii="黑体" w:hAnsi="黑体" w:eastAsia="黑体"/>
          <w:b w:val="0"/>
          <w:sz w:val="21"/>
        </w:rPr>
        <w:t>图5-17 三场景权重箱下鲁棒方案性能箱线</w:t>
      </w:r>
    </w:p>
    <w:p>
      <w:pPr>
        <w:spacing w:after="120" w:line="360" w:lineRule="auto"/>
        <w:ind w:firstLine="420"/>
      </w:pPr>
      <w:r>
        <w:rPr>
          <w:rFonts w:ascii="宋体" w:hAnsi="宋体" w:eastAsia="宋体"/>
          <w:b w:val="0"/>
          <w:sz w:val="24"/>
        </w:rPr>
        <w:t>综上，推荐$r^*=0.2364$、$h^*=4.50$、$n^*=6$为对偏好变化不敏感的鲁棒设计方案，其判定依据为权重域最坏情形性能最优（$W$最小）且偏好敏感带宽最小。</w:t>
      </w:r>
    </w:p>
    <w:p>
      <w:pPr>
        <w:spacing w:before="160" w:after="120"/>
      </w:pPr>
      <w:r>
        <w:rPr>
          <w:rFonts w:ascii="黑体" w:hAnsi="黑体" w:eastAsia="黑体"/>
          <w:b/>
          <w:sz w:val="28"/>
        </w:rPr>
        <w:t>问题五：敏感性分析与稳健性检验</w:t>
      </w:r>
    </w:p>
    <w:p>
      <w:pPr>
        <w:spacing w:after="120" w:line="360" w:lineRule="auto"/>
        <w:ind w:firstLine="420"/>
      </w:pPr>
      <w:r>
        <w:rPr>
          <w:rFonts w:ascii="宋体" w:hAnsi="宋体" w:eastAsia="宋体"/>
          <w:b w:val="0"/>
          <w:sz w:val="24"/>
        </w:rPr>
        <w:t>针对问题五，本节考虑加工误差与工况波动两类不确定性，并叠加代理模型的认知不确定度，对问题三综合最优方案（记Q3方案，$r=0.2148,h=4.50,n=6$）与问题四鲁棒方案（记Q4方案，$r=0.2364,h=4.50,n=6$）进行局部弹性灵敏度、双源蒙特卡洛与Sobol全局灵敏度分析，评估设计方案的敏感性与稳定性。具体过程如下。</w:t>
      </w:r>
    </w:p>
    <w:p>
      <w:pPr>
        <w:spacing w:before="160" w:after="120"/>
      </w:pPr>
      <w:r>
        <w:rPr>
          <w:rFonts w:ascii="黑体" w:hAnsi="黑体" w:eastAsia="黑体"/>
          <w:b/>
          <w:sz w:val="24"/>
        </w:rPr>
        <w:t>数据预处理与不确定度建模</w:t>
      </w:r>
    </w:p>
    <w:p>
      <w:pPr>
        <w:spacing w:after="120" w:line="360" w:lineRule="auto"/>
        <w:ind w:firstLine="420"/>
      </w:pPr>
      <w:r>
        <w:rPr>
          <w:rFonts w:ascii="宋体" w:hAnsi="宋体" w:eastAsia="宋体"/>
          <w:b w:val="0"/>
          <w:sz w:val="24"/>
        </w:rPr>
        <w:t>扰动输入由随机采样生成，无需额外样本预处理。不确定度分三类建模：一是参数偶然不确定度，加工误差对$r$、$h$施加截断正态扰动（$\sigma_r=0.01$、$\sigma_h=0.075$，$h$在可行域$[3,4.5]$上截断），对$n$施加$\{-1,0,+1\}$排的取整扰动（概率0.25/0.5/0.25，越界就近取可行偶数）；二是模型认知不确定度，由GPR预测标准差$\sigma_*(x)$逐点注入；三是工况波动，按假设10施加小噪声$\sigma_{op}=1.5\%$。</w:t>
      </w:r>
    </w:p>
    <w:p>
      <w:pPr>
        <w:spacing w:before="160" w:after="120"/>
      </w:pPr>
      <w:r>
        <w:rPr>
          <w:rFonts w:ascii="黑体" w:hAnsi="黑体" w:eastAsia="黑体"/>
          <w:b/>
          <w:sz w:val="24"/>
        </w:rPr>
        <w:t>局部弹性灵敏度分析</w:t>
      </w:r>
    </w:p>
    <w:p>
      <w:pPr>
        <w:spacing w:after="120" w:line="360" w:lineRule="auto"/>
        <w:ind w:firstLine="420"/>
      </w:pPr>
      <w:r>
        <w:rPr>
          <w:rFonts w:ascii="宋体" w:hAnsi="宋体" w:eastAsia="宋体"/>
          <w:b w:val="0"/>
          <w:sz w:val="24"/>
        </w:rPr>
        <w:t>以两方案为基准，用中心差分计算性能指标对参数的对数弹性系数：</w:t>
      </w:r>
    </w:p>
    <w:p>
      <w:pPr>
        <w:spacing w:after="120" w:line="312" w:lineRule="auto"/>
        <w:jc w:val="center"/>
      </w:pPr>
      <w:r>
        <w:rPr>
          <w:rFonts w:ascii="宋体" w:hAnsi="宋体" w:eastAsia="宋体"/>
          <w:b w:val="0"/>
          <w:sz w:val="24"/>
        </w:rPr>
        <w:t>\varepsilon_{ij}=\frac{\partial \ln y_i}{\partial \ln x_j}\approx\frac{\ln y_i(x_j^+)-\ln y_i(x_j^-)}{\ln x_j^+-\ln x_j^-} \tag{1}</w:t>
      </w:r>
    </w:p>
    <w:p>
      <w:pPr>
        <w:spacing w:after="120" w:line="360" w:lineRule="auto"/>
        <w:ind w:firstLine="420"/>
      </w:pPr>
      <w:r>
        <w:rPr>
          <w:rFonts w:ascii="宋体" w:hAnsi="宋体" w:eastAsia="宋体"/>
          <w:b w:val="0"/>
          <w:sz w:val="24"/>
        </w:rPr>
        <w:t>其中，连续变量$x_j$施加±1%扰动，离散变量$n$施加±1排。计算结果如图5-18所示。</w:t>
      </w:r>
    </w:p>
    <w:p>
      <w:pPr>
        <w:jc w:val="center"/>
      </w:pPr>
      <w:r>
        <w:drawing>
          <wp:inline xmlns:a="http://schemas.openxmlformats.org/drawingml/2006/main" xmlns:pic="http://schemas.openxmlformats.org/drawingml/2006/picture">
            <wp:extent cx="4860000" cy="1465179"/>
            <wp:docPr id="19" name="Picture 19"/>
            <wp:cNvGraphicFramePr>
              <a:graphicFrameLocks noChangeAspect="1"/>
            </wp:cNvGraphicFramePr>
            <a:graphic>
              <a:graphicData uri="http://schemas.openxmlformats.org/drawingml/2006/picture">
                <pic:pic>
                  <pic:nvPicPr>
                    <pic:cNvPr id="0" name="q5_01_local_sensitivity.png"/>
                    <pic:cNvPicPr/>
                  </pic:nvPicPr>
                  <pic:blipFill>
                    <a:blip r:embed="rId27"/>
                    <a:stretch>
                      <a:fillRect/>
                    </a:stretch>
                  </pic:blipFill>
                  <pic:spPr>
                    <a:xfrm>
                      <a:off x="0" y="0"/>
                      <a:ext cx="4860000" cy="1465179"/>
                    </a:xfrm>
                    <a:prstGeom prst="rect"/>
                  </pic:spPr>
                </pic:pic>
              </a:graphicData>
            </a:graphic>
          </wp:inline>
        </w:drawing>
      </w:r>
    </w:p>
    <w:p>
      <w:pPr>
        <w:spacing w:after="200" w:line="288" w:lineRule="auto"/>
        <w:jc w:val="center"/>
      </w:pPr>
      <w:r>
        <w:rPr>
          <w:rFonts w:ascii="黑体" w:hAnsi="黑体" w:eastAsia="黑体"/>
          <w:b w:val="0"/>
          <w:sz w:val="21"/>
        </w:rPr>
        <w:t>图5-18 局部弹性系数</w:t>
      </w:r>
    </w:p>
    <w:p>
      <w:pPr>
        <w:spacing w:after="120" w:line="360" w:lineRule="auto"/>
        <w:ind w:firstLine="420"/>
      </w:pPr>
      <w:r>
        <w:rPr>
          <w:rFonts w:ascii="宋体" w:hAnsi="宋体" w:eastAsia="宋体"/>
          <w:b w:val="0"/>
          <w:sz w:val="24"/>
        </w:rPr>
        <w:t>结果表明：$P$对$h$弹性最强（Q3方案$\varepsilon_{P,h}=-0.821$），其次为$r$、$n$对$P$的正驱动（0.448、0.370）；$R$对$h$弹性约-0.12，其余均小于0.02；$T$各弹性绝对值小于0.10。即$h$是压降最关键的控制变量（$P\propto1/h^2$），与问题一机理结论一致。</w:t>
      </w:r>
    </w:p>
    <w:p>
      <w:pPr>
        <w:spacing w:before="160" w:after="120"/>
      </w:pPr>
      <w:r>
        <w:rPr>
          <w:rFonts w:ascii="黑体" w:hAnsi="黑体" w:eastAsia="黑体"/>
          <w:b/>
          <w:sz w:val="24"/>
        </w:rPr>
        <w:t>双源蒙特卡洛模型</w:t>
      </w:r>
    </w:p>
    <w:p>
      <w:pPr>
        <w:spacing w:after="120" w:line="360" w:lineRule="auto"/>
        <w:ind w:firstLine="420"/>
      </w:pPr>
      <w:r>
        <w:rPr>
          <w:rFonts w:ascii="宋体" w:hAnsi="宋体" w:eastAsia="宋体"/>
          <w:b w:val="0"/>
          <w:sz w:val="24"/>
        </w:rPr>
        <w:t>对两方案各进行$N=20000$次采样，将参数扰动、认知不确定度与工况波动经GPR代理传播为性能指标分布，统计均值、标准差、变异系数CV、分位数P10/P50/P90与失效概率$p_{fail}=\Pr(y&gt;\bar y(1+5\%))$，并作方差来源分解：</w:t>
      </w:r>
    </w:p>
    <w:p>
      <w:pPr>
        <w:spacing w:after="120" w:line="312" w:lineRule="auto"/>
        <w:jc w:val="center"/>
      </w:pPr>
      <w:r>
        <w:rPr>
          <w:rFonts w:ascii="宋体" w:hAnsi="宋体" w:eastAsia="宋体"/>
          <w:b w:val="0"/>
          <w:sz w:val="24"/>
        </w:rPr>
        <w:t>\mathrm{Var}(y)=\mathrm{Var}_{param}+\mathrm{Var}_{epistemic}+\mathrm{Var}_{op} \tag{2}</w:t>
      </w:r>
    </w:p>
    <w:p>
      <w:pPr>
        <w:spacing w:after="120" w:line="360" w:lineRule="auto"/>
        <w:ind w:firstLine="420"/>
      </w:pPr>
      <w:r>
        <w:rPr>
          <w:rFonts w:ascii="宋体" w:hAnsi="宋体" w:eastAsia="宋体"/>
          <w:b w:val="0"/>
          <w:sz w:val="24"/>
        </w:rPr>
        <w:t>结果如表5-5、图5-19与图5-20所示。</w:t>
      </w:r>
    </w:p>
    <w:p>
      <w:pPr>
        <w:spacing w:after="120" w:line="360" w:lineRule="auto"/>
        <w:ind w:firstLine="420"/>
      </w:pPr>
      <w:r>
        <w:rPr>
          <w:rFonts w:ascii="宋体" w:hAnsi="宋体" w:eastAsia="宋体"/>
          <w:b/>
          <w:sz w:val="24"/>
        </w:rPr>
        <w:t>表5-5 蒙特卡洛模拟下两方案性能分布统计</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1134"/>
        <w:gridCol w:w="1134"/>
        <w:gridCol w:w="1134"/>
        <w:gridCol w:w="1134"/>
        <w:gridCol w:w="1134"/>
        <w:gridCol w:w="1134"/>
        <w:gridCol w:w="1134"/>
        <w:gridCol w:w="1134"/>
      </w:tblGrid>
      <w:tr>
        <w:tc>
          <w:tcPr>
            <w:tcW w:type="dxa" w:w="1134"/>
            <w:tcBorders>
              <w:bottom w:val="single" w:sz="6" w:color="000000"/>
            </w:tcBorders>
          </w:tcPr>
          <w:p>
            <w:pPr>
              <w:jc w:val="center"/>
            </w:pPr>
            <w:r/>
            <w:r>
              <w:rPr>
                <w:rFonts w:ascii="宋体" w:hAnsi="宋体" w:eastAsia="宋体"/>
                <w:b/>
                <w:sz w:val="21"/>
              </w:rPr>
              <w:t>指标</w:t>
            </w:r>
          </w:p>
        </w:tc>
        <w:tc>
          <w:tcPr>
            <w:tcW w:type="dxa" w:w="1134"/>
            <w:tcBorders>
              <w:bottom w:val="single" w:sz="6" w:color="000000"/>
            </w:tcBorders>
          </w:tcPr>
          <w:p>
            <w:pPr>
              <w:jc w:val="center"/>
            </w:pPr>
            <w:r/>
            <w:r>
              <w:rPr>
                <w:rFonts w:ascii="宋体" w:hAnsi="宋体" w:eastAsia="宋体"/>
                <w:b/>
                <w:sz w:val="21"/>
              </w:rPr>
              <w:t>方案</w:t>
            </w:r>
          </w:p>
        </w:tc>
        <w:tc>
          <w:tcPr>
            <w:tcW w:type="dxa" w:w="1134"/>
            <w:tcBorders>
              <w:bottom w:val="single" w:sz="6" w:color="000000"/>
            </w:tcBorders>
          </w:tcPr>
          <w:p>
            <w:pPr>
              <w:jc w:val="center"/>
            </w:pPr>
            <w:r/>
            <w:r>
              <w:rPr>
                <w:rFonts w:ascii="宋体" w:hAnsi="宋体" w:eastAsia="宋体"/>
                <w:b/>
                <w:sz w:val="21"/>
              </w:rPr>
              <w:t>名义值</w:t>
            </w:r>
          </w:p>
        </w:tc>
        <w:tc>
          <w:tcPr>
            <w:tcW w:type="dxa" w:w="1134"/>
            <w:tcBorders>
              <w:bottom w:val="single" w:sz="6" w:color="000000"/>
            </w:tcBorders>
          </w:tcPr>
          <w:p>
            <w:pPr>
              <w:jc w:val="center"/>
            </w:pPr>
            <w:r/>
            <w:r>
              <w:rPr>
                <w:rFonts w:ascii="宋体" w:hAnsi="宋体" w:eastAsia="宋体"/>
                <w:b/>
                <w:sz w:val="21"/>
              </w:rPr>
              <w:t>均值</w:t>
            </w:r>
          </w:p>
        </w:tc>
        <w:tc>
          <w:tcPr>
            <w:tcW w:type="dxa" w:w="1134"/>
            <w:tcBorders>
              <w:bottom w:val="single" w:sz="6" w:color="000000"/>
            </w:tcBorders>
          </w:tcPr>
          <w:p>
            <w:pPr>
              <w:jc w:val="center"/>
            </w:pPr>
            <w:r/>
            <w:r>
              <w:rPr>
                <w:rFonts w:ascii="宋体" w:hAnsi="宋体" w:eastAsia="宋体"/>
                <w:b/>
                <w:sz w:val="21"/>
              </w:rPr>
              <w:t>标准差</w:t>
            </w:r>
          </w:p>
        </w:tc>
        <w:tc>
          <w:tcPr>
            <w:tcW w:type="dxa" w:w="1134"/>
            <w:tcBorders>
              <w:bottom w:val="single" w:sz="6" w:color="000000"/>
            </w:tcBorders>
          </w:tcPr>
          <w:p>
            <w:pPr>
              <w:jc w:val="center"/>
            </w:pPr>
            <w:r/>
            <w:r>
              <w:rPr>
                <w:rFonts w:ascii="宋体" w:hAnsi="宋体" w:eastAsia="宋体"/>
                <w:b/>
                <w:sz w:val="21"/>
              </w:rPr>
              <w:t>CV</w:t>
            </w:r>
          </w:p>
        </w:tc>
        <w:tc>
          <w:tcPr>
            <w:tcW w:type="dxa" w:w="1134"/>
            <w:tcBorders>
              <w:bottom w:val="single" w:sz="6" w:color="000000"/>
            </w:tcBorders>
          </w:tcPr>
          <w:p>
            <w:pPr>
              <w:jc w:val="center"/>
            </w:pPr>
            <w:r/>
            <w:r>
              <w:rPr>
                <w:rFonts w:ascii="宋体" w:hAnsi="宋体" w:eastAsia="宋体"/>
                <w:b/>
                <w:sz w:val="21"/>
              </w:rPr>
              <w:t>稳定性分级</w:t>
            </w:r>
          </w:p>
        </w:tc>
        <w:tc>
          <w:tcPr>
            <w:tcW w:type="dxa" w:w="1134"/>
            <w:tcBorders>
              <w:bottom w:val="single" w:sz="6" w:color="000000"/>
            </w:tcBorders>
          </w:tcPr>
          <w:p>
            <w:pPr>
              <w:jc w:val="center"/>
            </w:pPr>
            <w:r/>
            <w:r>
              <w:rPr>
                <w:rFonts w:ascii="宋体" w:hAnsi="宋体" w:eastAsia="宋体"/>
                <w:b/>
                <w:sz w:val="21"/>
              </w:rPr>
              <w:t>$p_{fail}$</w:t>
            </w:r>
          </w:p>
        </w:tc>
      </w:tr>
      <w:tr>
        <w:tc>
          <w:tcPr>
            <w:tcW w:type="dxa" w:w="1134"/>
          </w:tcPr>
          <w:p>
            <w:pPr>
              <w:jc w:val="center"/>
            </w:pPr>
            <w:r/>
            <w:r>
              <w:rPr>
                <w:rFonts w:ascii="宋体" w:hAnsi="宋体" w:eastAsia="宋体"/>
                <w:sz w:val="21"/>
              </w:rPr>
              <w:t>$R$</w:t>
            </w:r>
          </w:p>
        </w:tc>
        <w:tc>
          <w:tcPr>
            <w:tcW w:type="dxa" w:w="1134"/>
          </w:tcPr>
          <w:p>
            <w:pPr>
              <w:jc w:val="center"/>
            </w:pPr>
            <w:r/>
            <w:r>
              <w:rPr>
                <w:rFonts w:ascii="宋体" w:hAnsi="宋体" w:eastAsia="宋体"/>
                <w:sz w:val="21"/>
              </w:rPr>
              <w:t>Q3</w:t>
            </w:r>
          </w:p>
        </w:tc>
        <w:tc>
          <w:tcPr>
            <w:tcW w:type="dxa" w:w="1134"/>
          </w:tcPr>
          <w:p>
            <w:pPr>
              <w:jc w:val="center"/>
            </w:pPr>
            <w:r/>
            <w:r>
              <w:rPr>
                <w:rFonts w:ascii="宋体" w:hAnsi="宋体" w:eastAsia="宋体"/>
                <w:sz w:val="21"/>
              </w:rPr>
              <w:t>0.7351</w:t>
            </w:r>
          </w:p>
        </w:tc>
        <w:tc>
          <w:tcPr>
            <w:tcW w:type="dxa" w:w="1134"/>
          </w:tcPr>
          <w:p>
            <w:pPr>
              <w:jc w:val="center"/>
            </w:pPr>
            <w:r/>
            <w:r>
              <w:rPr>
                <w:rFonts w:ascii="宋体" w:hAnsi="宋体" w:eastAsia="宋体"/>
                <w:sz w:val="21"/>
              </w:rPr>
              <w:t>0.7378</w:t>
            </w:r>
          </w:p>
        </w:tc>
        <w:tc>
          <w:tcPr>
            <w:tcW w:type="dxa" w:w="1134"/>
          </w:tcPr>
          <w:p>
            <w:pPr>
              <w:jc w:val="center"/>
            </w:pPr>
            <w:r/>
            <w:r>
              <w:rPr>
                <w:rFonts w:ascii="宋体" w:hAnsi="宋体" w:eastAsia="宋体"/>
                <w:sz w:val="21"/>
              </w:rPr>
              <w:t>0.0115</w:t>
            </w:r>
          </w:p>
        </w:tc>
        <w:tc>
          <w:tcPr>
            <w:tcW w:type="dxa" w:w="1134"/>
          </w:tcPr>
          <w:p>
            <w:pPr>
              <w:jc w:val="center"/>
            </w:pPr>
            <w:r/>
            <w:r>
              <w:rPr>
                <w:rFonts w:ascii="宋体" w:hAnsi="宋体" w:eastAsia="宋体"/>
                <w:sz w:val="21"/>
              </w:rPr>
              <w:t>1.56%</w:t>
            </w:r>
          </w:p>
        </w:tc>
        <w:tc>
          <w:tcPr>
            <w:tcW w:type="dxa" w:w="1134"/>
          </w:tcPr>
          <w:p>
            <w:pPr>
              <w:jc w:val="center"/>
            </w:pPr>
            <w:r/>
            <w:r>
              <w:rPr>
                <w:rFonts w:ascii="宋体" w:hAnsi="宋体" w:eastAsia="宋体"/>
                <w:sz w:val="21"/>
              </w:rPr>
              <w:t>高度稳定</w:t>
            </w:r>
          </w:p>
        </w:tc>
        <w:tc>
          <w:tcPr>
            <w:tcW w:type="dxa" w:w="1134"/>
          </w:tcPr>
          <w:p>
            <w:pPr>
              <w:jc w:val="center"/>
            </w:pPr>
            <w:r/>
            <w:r>
              <w:rPr>
                <w:rFonts w:ascii="宋体" w:hAnsi="宋体" w:eastAsia="宋体"/>
                <w:sz w:val="21"/>
              </w:rPr>
              <w:t>0.22%</w:t>
            </w:r>
          </w:p>
        </w:tc>
      </w:tr>
      <w:tr>
        <w:tc>
          <w:tcPr>
            <w:tcW w:type="dxa" w:w="1134"/>
          </w:tcPr>
          <w:p>
            <w:pPr>
              <w:jc w:val="center"/>
            </w:pPr>
            <w:r/>
            <w:r>
              <w:rPr>
                <w:rFonts w:ascii="宋体" w:hAnsi="宋体" w:eastAsia="宋体"/>
                <w:sz w:val="21"/>
              </w:rPr>
              <w:t>$R$</w:t>
            </w:r>
          </w:p>
        </w:tc>
        <w:tc>
          <w:tcPr>
            <w:tcW w:type="dxa" w:w="1134"/>
          </w:tcPr>
          <w:p>
            <w:pPr>
              <w:jc w:val="center"/>
            </w:pPr>
            <w:r/>
            <w:r>
              <w:rPr>
                <w:rFonts w:ascii="宋体" w:hAnsi="宋体" w:eastAsia="宋体"/>
                <w:sz w:val="21"/>
              </w:rPr>
              <w:t>Q4</w:t>
            </w:r>
          </w:p>
        </w:tc>
        <w:tc>
          <w:tcPr>
            <w:tcW w:type="dxa" w:w="1134"/>
          </w:tcPr>
          <w:p>
            <w:pPr>
              <w:jc w:val="center"/>
            </w:pPr>
            <w:r/>
            <w:r>
              <w:rPr>
                <w:rFonts w:ascii="宋体" w:hAnsi="宋体" w:eastAsia="宋体"/>
                <w:sz w:val="21"/>
              </w:rPr>
              <w:t>0.7343</w:t>
            </w:r>
          </w:p>
        </w:tc>
        <w:tc>
          <w:tcPr>
            <w:tcW w:type="dxa" w:w="1134"/>
          </w:tcPr>
          <w:p>
            <w:pPr>
              <w:jc w:val="center"/>
            </w:pPr>
            <w:r/>
            <w:r>
              <w:rPr>
                <w:rFonts w:ascii="宋体" w:hAnsi="宋体" w:eastAsia="宋体"/>
                <w:sz w:val="21"/>
              </w:rPr>
              <w:t>0.7374</w:t>
            </w:r>
          </w:p>
        </w:tc>
        <w:tc>
          <w:tcPr>
            <w:tcW w:type="dxa" w:w="1134"/>
          </w:tcPr>
          <w:p>
            <w:pPr>
              <w:jc w:val="center"/>
            </w:pPr>
            <w:r/>
            <w:r>
              <w:rPr>
                <w:rFonts w:ascii="宋体" w:hAnsi="宋体" w:eastAsia="宋体"/>
                <w:sz w:val="21"/>
              </w:rPr>
              <w:t>0.0115</w:t>
            </w:r>
          </w:p>
        </w:tc>
        <w:tc>
          <w:tcPr>
            <w:tcW w:type="dxa" w:w="1134"/>
          </w:tcPr>
          <w:p>
            <w:pPr>
              <w:jc w:val="center"/>
            </w:pPr>
            <w:r/>
            <w:r>
              <w:rPr>
                <w:rFonts w:ascii="宋体" w:hAnsi="宋体" w:eastAsia="宋体"/>
                <w:sz w:val="21"/>
              </w:rPr>
              <w:t>1.56%</w:t>
            </w:r>
          </w:p>
        </w:tc>
        <w:tc>
          <w:tcPr>
            <w:tcW w:type="dxa" w:w="1134"/>
          </w:tcPr>
          <w:p>
            <w:pPr>
              <w:jc w:val="center"/>
            </w:pPr>
            <w:r/>
            <w:r>
              <w:rPr>
                <w:rFonts w:ascii="宋体" w:hAnsi="宋体" w:eastAsia="宋体"/>
                <w:sz w:val="21"/>
              </w:rPr>
              <w:t>高度稳定</w:t>
            </w:r>
          </w:p>
        </w:tc>
        <w:tc>
          <w:tcPr>
            <w:tcW w:type="dxa" w:w="1134"/>
          </w:tcPr>
          <w:p>
            <w:pPr>
              <w:jc w:val="center"/>
            </w:pPr>
            <w:r/>
            <w:r>
              <w:rPr>
                <w:rFonts w:ascii="宋体" w:hAnsi="宋体" w:eastAsia="宋体"/>
                <w:sz w:val="21"/>
              </w:rPr>
              <w:t>0.22%</w:t>
            </w:r>
          </w:p>
        </w:tc>
      </w:tr>
      <w:tr>
        <w:tc>
          <w:tcPr>
            <w:tcW w:type="dxa" w:w="1134"/>
          </w:tcPr>
          <w:p>
            <w:pPr>
              <w:jc w:val="center"/>
            </w:pPr>
            <w:r/>
            <w:r>
              <w:rPr>
                <w:rFonts w:ascii="宋体" w:hAnsi="宋体" w:eastAsia="宋体"/>
                <w:sz w:val="21"/>
              </w:rPr>
              <w:t>$P$</w:t>
            </w:r>
          </w:p>
        </w:tc>
        <w:tc>
          <w:tcPr>
            <w:tcW w:type="dxa" w:w="1134"/>
          </w:tcPr>
          <w:p>
            <w:pPr>
              <w:jc w:val="center"/>
            </w:pPr>
            <w:r/>
            <w:r>
              <w:rPr>
                <w:rFonts w:ascii="宋体" w:hAnsi="宋体" w:eastAsia="宋体"/>
                <w:sz w:val="21"/>
              </w:rPr>
              <w:t>Q3</w:t>
            </w:r>
          </w:p>
        </w:tc>
        <w:tc>
          <w:tcPr>
            <w:tcW w:type="dxa" w:w="1134"/>
          </w:tcPr>
          <w:p>
            <w:pPr>
              <w:jc w:val="center"/>
            </w:pPr>
            <w:r/>
            <w:r>
              <w:rPr>
                <w:rFonts w:ascii="宋体" w:hAnsi="宋体" w:eastAsia="宋体"/>
                <w:sz w:val="21"/>
              </w:rPr>
              <w:t>0.0961</w:t>
            </w:r>
          </w:p>
        </w:tc>
        <w:tc>
          <w:tcPr>
            <w:tcW w:type="dxa" w:w="1134"/>
          </w:tcPr>
          <w:p>
            <w:pPr>
              <w:jc w:val="center"/>
            </w:pPr>
            <w:r/>
            <w:r>
              <w:rPr>
                <w:rFonts w:ascii="宋体" w:hAnsi="宋体" w:eastAsia="宋体"/>
                <w:sz w:val="21"/>
              </w:rPr>
              <w:t>0.0944</w:t>
            </w:r>
          </w:p>
        </w:tc>
        <w:tc>
          <w:tcPr>
            <w:tcW w:type="dxa" w:w="1134"/>
          </w:tcPr>
          <w:p>
            <w:pPr>
              <w:jc w:val="center"/>
            </w:pPr>
            <w:r/>
            <w:r>
              <w:rPr>
                <w:rFonts w:ascii="宋体" w:hAnsi="宋体" w:eastAsia="宋体"/>
                <w:sz w:val="21"/>
              </w:rPr>
              <w:t>0.0057</w:t>
            </w:r>
          </w:p>
        </w:tc>
        <w:tc>
          <w:tcPr>
            <w:tcW w:type="dxa" w:w="1134"/>
          </w:tcPr>
          <w:p>
            <w:pPr>
              <w:jc w:val="center"/>
            </w:pPr>
            <w:r/>
            <w:r>
              <w:rPr>
                <w:rFonts w:ascii="宋体" w:hAnsi="宋体" w:eastAsia="宋体"/>
                <w:sz w:val="21"/>
              </w:rPr>
              <w:t>6.04%</w:t>
            </w:r>
          </w:p>
        </w:tc>
        <w:tc>
          <w:tcPr>
            <w:tcW w:type="dxa" w:w="1134"/>
          </w:tcPr>
          <w:p>
            <w:pPr>
              <w:jc w:val="center"/>
            </w:pPr>
            <w:r/>
            <w:r>
              <w:rPr>
                <w:rFonts w:ascii="宋体" w:hAnsi="宋体" w:eastAsia="宋体"/>
                <w:sz w:val="21"/>
              </w:rPr>
              <w:t>基本稳定</w:t>
            </w:r>
          </w:p>
        </w:tc>
        <w:tc>
          <w:tcPr>
            <w:tcW w:type="dxa" w:w="1134"/>
          </w:tcPr>
          <w:p>
            <w:pPr>
              <w:jc w:val="center"/>
            </w:pPr>
            <w:r/>
            <w:r>
              <w:rPr>
                <w:rFonts w:ascii="宋体" w:hAnsi="宋体" w:eastAsia="宋体"/>
                <w:sz w:val="21"/>
              </w:rPr>
              <w:t>7.02%</w:t>
            </w:r>
          </w:p>
        </w:tc>
      </w:tr>
      <w:tr>
        <w:tc>
          <w:tcPr>
            <w:tcW w:type="dxa" w:w="1134"/>
          </w:tcPr>
          <w:p>
            <w:pPr>
              <w:jc w:val="center"/>
            </w:pPr>
            <w:r/>
            <w:r>
              <w:rPr>
                <w:rFonts w:ascii="宋体" w:hAnsi="宋体" w:eastAsia="宋体"/>
                <w:sz w:val="21"/>
              </w:rPr>
              <w:t>$P$</w:t>
            </w:r>
          </w:p>
        </w:tc>
        <w:tc>
          <w:tcPr>
            <w:tcW w:type="dxa" w:w="1134"/>
          </w:tcPr>
          <w:p>
            <w:pPr>
              <w:jc w:val="center"/>
            </w:pPr>
            <w:r/>
            <w:r>
              <w:rPr>
                <w:rFonts w:ascii="宋体" w:hAnsi="宋体" w:eastAsia="宋体"/>
                <w:sz w:val="21"/>
              </w:rPr>
              <w:t>Q4</w:t>
            </w:r>
          </w:p>
        </w:tc>
        <w:tc>
          <w:tcPr>
            <w:tcW w:type="dxa" w:w="1134"/>
          </w:tcPr>
          <w:p>
            <w:pPr>
              <w:jc w:val="center"/>
            </w:pPr>
            <w:r/>
            <w:r>
              <w:rPr>
                <w:rFonts w:ascii="宋体" w:hAnsi="宋体" w:eastAsia="宋体"/>
                <w:sz w:val="21"/>
              </w:rPr>
              <w:t>0.1013</w:t>
            </w:r>
          </w:p>
        </w:tc>
        <w:tc>
          <w:tcPr>
            <w:tcW w:type="dxa" w:w="1134"/>
          </w:tcPr>
          <w:p>
            <w:pPr>
              <w:jc w:val="center"/>
            </w:pPr>
            <w:r/>
            <w:r>
              <w:rPr>
                <w:rFonts w:ascii="宋体" w:hAnsi="宋体" w:eastAsia="宋体"/>
                <w:sz w:val="21"/>
              </w:rPr>
              <w:t>0.0989</w:t>
            </w:r>
          </w:p>
        </w:tc>
        <w:tc>
          <w:tcPr>
            <w:tcW w:type="dxa" w:w="1134"/>
          </w:tcPr>
          <w:p>
            <w:pPr>
              <w:jc w:val="center"/>
            </w:pPr>
            <w:r/>
            <w:r>
              <w:rPr>
                <w:rFonts w:ascii="宋体" w:hAnsi="宋体" w:eastAsia="宋体"/>
                <w:sz w:val="21"/>
              </w:rPr>
              <w:t>0.0070</w:t>
            </w:r>
          </w:p>
        </w:tc>
        <w:tc>
          <w:tcPr>
            <w:tcW w:type="dxa" w:w="1134"/>
          </w:tcPr>
          <w:p>
            <w:pPr>
              <w:jc w:val="center"/>
            </w:pPr>
            <w:r/>
            <w:r>
              <w:rPr>
                <w:rFonts w:ascii="宋体" w:hAnsi="宋体" w:eastAsia="宋体"/>
                <w:sz w:val="21"/>
              </w:rPr>
              <w:t>7.03%</w:t>
            </w:r>
          </w:p>
        </w:tc>
        <w:tc>
          <w:tcPr>
            <w:tcW w:type="dxa" w:w="1134"/>
          </w:tcPr>
          <w:p>
            <w:pPr>
              <w:jc w:val="center"/>
            </w:pPr>
            <w:r/>
            <w:r>
              <w:rPr>
                <w:rFonts w:ascii="宋体" w:hAnsi="宋体" w:eastAsia="宋体"/>
                <w:sz w:val="21"/>
              </w:rPr>
              <w:t>基本稳定</w:t>
            </w:r>
          </w:p>
        </w:tc>
        <w:tc>
          <w:tcPr>
            <w:tcW w:type="dxa" w:w="1134"/>
          </w:tcPr>
          <w:p>
            <w:pPr>
              <w:jc w:val="center"/>
            </w:pPr>
            <w:r/>
            <w:r>
              <w:rPr>
                <w:rFonts w:ascii="宋体" w:hAnsi="宋体" w:eastAsia="宋体"/>
                <w:sz w:val="21"/>
              </w:rPr>
              <w:t>9.57%</w:t>
            </w:r>
          </w:p>
        </w:tc>
      </w:tr>
      <w:tr>
        <w:tc>
          <w:tcPr>
            <w:tcW w:type="dxa" w:w="1134"/>
          </w:tcPr>
          <w:p>
            <w:pPr>
              <w:jc w:val="center"/>
            </w:pPr>
            <w:r/>
            <w:r>
              <w:rPr>
                <w:rFonts w:ascii="宋体" w:hAnsi="宋体" w:eastAsia="宋体"/>
                <w:sz w:val="21"/>
              </w:rPr>
              <w:t>$T$</w:t>
            </w:r>
          </w:p>
        </w:tc>
        <w:tc>
          <w:tcPr>
            <w:tcW w:type="dxa" w:w="1134"/>
          </w:tcPr>
          <w:p>
            <w:pPr>
              <w:jc w:val="center"/>
            </w:pPr>
            <w:r/>
            <w:r>
              <w:rPr>
                <w:rFonts w:ascii="宋体" w:hAnsi="宋体" w:eastAsia="宋体"/>
                <w:sz w:val="21"/>
              </w:rPr>
              <w:t>Q3</w:t>
            </w:r>
          </w:p>
        </w:tc>
        <w:tc>
          <w:tcPr>
            <w:tcW w:type="dxa" w:w="1134"/>
          </w:tcPr>
          <w:p>
            <w:pPr>
              <w:jc w:val="center"/>
            </w:pPr>
            <w:r/>
            <w:r>
              <w:rPr>
                <w:rFonts w:ascii="宋体" w:hAnsi="宋体" w:eastAsia="宋体"/>
                <w:sz w:val="21"/>
              </w:rPr>
              <w:t>0.7908</w:t>
            </w:r>
          </w:p>
        </w:tc>
        <w:tc>
          <w:tcPr>
            <w:tcW w:type="dxa" w:w="1134"/>
          </w:tcPr>
          <w:p>
            <w:pPr>
              <w:jc w:val="center"/>
            </w:pPr>
            <w:r/>
            <w:r>
              <w:rPr>
                <w:rFonts w:ascii="宋体" w:hAnsi="宋体" w:eastAsia="宋体"/>
                <w:sz w:val="21"/>
              </w:rPr>
              <w:t>0.7877</w:t>
            </w:r>
          </w:p>
        </w:tc>
        <w:tc>
          <w:tcPr>
            <w:tcW w:type="dxa" w:w="1134"/>
          </w:tcPr>
          <w:p>
            <w:pPr>
              <w:jc w:val="center"/>
            </w:pPr>
            <w:r/>
            <w:r>
              <w:rPr>
                <w:rFonts w:ascii="宋体" w:hAnsi="宋体" w:eastAsia="宋体"/>
                <w:sz w:val="21"/>
              </w:rPr>
              <w:t>0.0142</w:t>
            </w:r>
          </w:p>
        </w:tc>
        <w:tc>
          <w:tcPr>
            <w:tcW w:type="dxa" w:w="1134"/>
          </w:tcPr>
          <w:p>
            <w:pPr>
              <w:jc w:val="center"/>
            </w:pPr>
            <w:r/>
            <w:r>
              <w:rPr>
                <w:rFonts w:ascii="宋体" w:hAnsi="宋体" w:eastAsia="宋体"/>
                <w:sz w:val="21"/>
              </w:rPr>
              <w:t>1.80%</w:t>
            </w:r>
          </w:p>
        </w:tc>
        <w:tc>
          <w:tcPr>
            <w:tcW w:type="dxa" w:w="1134"/>
          </w:tcPr>
          <w:p>
            <w:pPr>
              <w:jc w:val="center"/>
            </w:pPr>
            <w:r/>
            <w:r>
              <w:rPr>
                <w:rFonts w:ascii="宋体" w:hAnsi="宋体" w:eastAsia="宋体"/>
                <w:sz w:val="21"/>
              </w:rPr>
              <w:t>高度稳定</w:t>
            </w:r>
          </w:p>
        </w:tc>
        <w:tc>
          <w:tcPr>
            <w:tcW w:type="dxa" w:w="1134"/>
          </w:tcPr>
          <w:p>
            <w:pPr>
              <w:jc w:val="center"/>
            </w:pPr>
            <w:r/>
            <w:r>
              <w:rPr>
                <w:rFonts w:ascii="宋体" w:hAnsi="宋体" w:eastAsia="宋体"/>
                <w:sz w:val="21"/>
              </w:rPr>
              <w:t>0.08%</w:t>
            </w:r>
          </w:p>
        </w:tc>
      </w:tr>
      <w:tr>
        <w:tc>
          <w:tcPr>
            <w:tcW w:type="dxa" w:w="1134"/>
          </w:tcPr>
          <w:p>
            <w:pPr>
              <w:jc w:val="center"/>
            </w:pPr>
            <w:r/>
            <w:r>
              <w:rPr>
                <w:rFonts w:ascii="宋体" w:hAnsi="宋体" w:eastAsia="宋体"/>
                <w:sz w:val="21"/>
              </w:rPr>
              <w:t>$T$</w:t>
            </w:r>
          </w:p>
        </w:tc>
        <w:tc>
          <w:tcPr>
            <w:tcW w:type="dxa" w:w="1134"/>
          </w:tcPr>
          <w:p>
            <w:pPr>
              <w:jc w:val="center"/>
            </w:pPr>
            <w:r/>
            <w:r>
              <w:rPr>
                <w:rFonts w:ascii="宋体" w:hAnsi="宋体" w:eastAsia="宋体"/>
                <w:sz w:val="21"/>
              </w:rPr>
              <w:t>Q4</w:t>
            </w:r>
          </w:p>
        </w:tc>
        <w:tc>
          <w:tcPr>
            <w:tcW w:type="dxa" w:w="1134"/>
          </w:tcPr>
          <w:p>
            <w:pPr>
              <w:jc w:val="center"/>
            </w:pPr>
            <w:r/>
            <w:r>
              <w:rPr>
                <w:rFonts w:ascii="宋体" w:hAnsi="宋体" w:eastAsia="宋体"/>
                <w:sz w:val="21"/>
              </w:rPr>
              <w:t>0.7917</w:t>
            </w:r>
          </w:p>
        </w:tc>
        <w:tc>
          <w:tcPr>
            <w:tcW w:type="dxa" w:w="1134"/>
          </w:tcPr>
          <w:p>
            <w:pPr>
              <w:jc w:val="center"/>
            </w:pPr>
            <w:r/>
            <w:r>
              <w:rPr>
                <w:rFonts w:ascii="宋体" w:hAnsi="宋体" w:eastAsia="宋体"/>
                <w:sz w:val="21"/>
              </w:rPr>
              <w:t>0.7885</w:t>
            </w:r>
          </w:p>
        </w:tc>
        <w:tc>
          <w:tcPr>
            <w:tcW w:type="dxa" w:w="1134"/>
          </w:tcPr>
          <w:p>
            <w:pPr>
              <w:jc w:val="center"/>
            </w:pPr>
            <w:r/>
            <w:r>
              <w:rPr>
                <w:rFonts w:ascii="宋体" w:hAnsi="宋体" w:eastAsia="宋体"/>
                <w:sz w:val="21"/>
              </w:rPr>
              <w:t>0.0145</w:t>
            </w:r>
          </w:p>
        </w:tc>
        <w:tc>
          <w:tcPr>
            <w:tcW w:type="dxa" w:w="1134"/>
          </w:tcPr>
          <w:p>
            <w:pPr>
              <w:jc w:val="center"/>
            </w:pPr>
            <w:r/>
            <w:r>
              <w:rPr>
                <w:rFonts w:ascii="宋体" w:hAnsi="宋体" w:eastAsia="宋体"/>
                <w:sz w:val="21"/>
              </w:rPr>
              <w:t>1.84%</w:t>
            </w:r>
          </w:p>
        </w:tc>
        <w:tc>
          <w:tcPr>
            <w:tcW w:type="dxa" w:w="1134"/>
          </w:tcPr>
          <w:p>
            <w:pPr>
              <w:jc w:val="center"/>
            </w:pPr>
            <w:r/>
            <w:r>
              <w:rPr>
                <w:rFonts w:ascii="宋体" w:hAnsi="宋体" w:eastAsia="宋体"/>
                <w:sz w:val="21"/>
              </w:rPr>
              <w:t>高度稳定</w:t>
            </w:r>
          </w:p>
        </w:tc>
        <w:tc>
          <w:tcPr>
            <w:tcW w:type="dxa" w:w="1134"/>
          </w:tcPr>
          <w:p>
            <w:pPr>
              <w:jc w:val="center"/>
            </w:pPr>
            <w:r/>
            <w:r>
              <w:rPr>
                <w:rFonts w:ascii="宋体" w:hAnsi="宋体" w:eastAsia="宋体"/>
                <w:sz w:val="21"/>
              </w:rPr>
              <w:t>0.08%</w:t>
            </w:r>
          </w:p>
        </w:tc>
      </w:tr>
    </w:tbl>
    <w:p>
      <w:pPr>
        <w:jc w:val="center"/>
      </w:pPr>
      <w:r>
        <w:drawing>
          <wp:inline xmlns:a="http://schemas.openxmlformats.org/drawingml/2006/main" xmlns:pic="http://schemas.openxmlformats.org/drawingml/2006/picture">
            <wp:extent cx="4860000" cy="2769221"/>
            <wp:docPr id="20" name="Picture 20"/>
            <wp:cNvGraphicFramePr>
              <a:graphicFrameLocks noChangeAspect="1"/>
            </wp:cNvGraphicFramePr>
            <a:graphic>
              <a:graphicData uri="http://schemas.openxmlformats.org/drawingml/2006/picture">
                <pic:pic>
                  <pic:nvPicPr>
                    <pic:cNvPr id="0" name="q5_02_monte_carlo.png"/>
                    <pic:cNvPicPr/>
                  </pic:nvPicPr>
                  <pic:blipFill>
                    <a:blip r:embed="rId28"/>
                    <a:stretch>
                      <a:fillRect/>
                    </a:stretch>
                  </pic:blipFill>
                  <pic:spPr>
                    <a:xfrm>
                      <a:off x="0" y="0"/>
                      <a:ext cx="4860000" cy="2769221"/>
                    </a:xfrm>
                    <a:prstGeom prst="rect"/>
                  </pic:spPr>
                </pic:pic>
              </a:graphicData>
            </a:graphic>
          </wp:inline>
        </w:drawing>
      </w:r>
    </w:p>
    <w:p>
      <w:pPr>
        <w:spacing w:after="200" w:line="288" w:lineRule="auto"/>
        <w:jc w:val="center"/>
      </w:pPr>
      <w:r>
        <w:rPr>
          <w:rFonts w:ascii="黑体" w:hAnsi="黑体" w:eastAsia="黑体"/>
          <w:b w:val="0"/>
          <w:sz w:val="21"/>
        </w:rPr>
        <w:t>图5-19 蒙特卡洛模拟性能分布</w:t>
      </w:r>
    </w:p>
    <w:p>
      <w:pPr>
        <w:jc w:val="center"/>
      </w:pPr>
      <w:r>
        <w:drawing>
          <wp:inline xmlns:a="http://schemas.openxmlformats.org/drawingml/2006/main" xmlns:pic="http://schemas.openxmlformats.org/drawingml/2006/picture">
            <wp:extent cx="4860000" cy="2770461"/>
            <wp:docPr id="21" name="Picture 21"/>
            <wp:cNvGraphicFramePr>
              <a:graphicFrameLocks noChangeAspect="1"/>
            </wp:cNvGraphicFramePr>
            <a:graphic>
              <a:graphicData uri="http://schemas.openxmlformats.org/drawingml/2006/picture">
                <pic:pic>
                  <pic:nvPicPr>
                    <pic:cNvPr id="0" name="q5_03_variance_contribution.png"/>
                    <pic:cNvPicPr/>
                  </pic:nvPicPr>
                  <pic:blipFill>
                    <a:blip r:embed="rId29"/>
                    <a:stretch>
                      <a:fillRect/>
                    </a:stretch>
                  </pic:blipFill>
                  <pic:spPr>
                    <a:xfrm>
                      <a:off x="0" y="0"/>
                      <a:ext cx="4860000" cy="2770461"/>
                    </a:xfrm>
                    <a:prstGeom prst="rect"/>
                  </pic:spPr>
                </pic:pic>
              </a:graphicData>
            </a:graphic>
          </wp:inline>
        </w:drawing>
      </w:r>
    </w:p>
    <w:p>
      <w:pPr>
        <w:spacing w:after="200" w:line="288" w:lineRule="auto"/>
        <w:jc w:val="center"/>
      </w:pPr>
      <w:r>
        <w:rPr>
          <w:rFonts w:ascii="黑体" w:hAnsi="黑体" w:eastAsia="黑体"/>
          <w:b w:val="0"/>
          <w:sz w:val="21"/>
        </w:rPr>
        <w:t>图5-20 指标方差来源分解（参数/认知/工况）</w:t>
      </w:r>
    </w:p>
    <w:p>
      <w:pPr>
        <w:spacing w:after="120" w:line="360" w:lineRule="auto"/>
        <w:ind w:firstLine="420"/>
      </w:pPr>
      <w:r>
        <w:rPr>
          <w:rFonts w:ascii="宋体" w:hAnsi="宋体" w:eastAsia="宋体"/>
          <w:b w:val="0"/>
          <w:sz w:val="24"/>
        </w:rPr>
        <w:t>两方案$R$、$T$变异系数均小于2%（高度稳定），$P$为6%~7%（基本稳定）。方差来源分解显示：$R$由工况波动主导（约92%）、参数仅约6%；$P$由加工误差主导（约93%）；$T$由工况波动主导（约69%）、参数约31%。参数方差内部一阶分量排序为$n&gt;h&gt;r$，即排数加工扰动是参数不确定性的首要来源。失效概率上，$P$为主要风险源（Q3方案7.02%、Q4方案9.57%），$R$、$T$低于0.25%。</w:t>
      </w:r>
    </w:p>
    <w:p>
      <w:pPr>
        <w:spacing w:before="160" w:after="120"/>
      </w:pPr>
      <w:r>
        <w:rPr>
          <w:rFonts w:ascii="黑体" w:hAnsi="黑体" w:eastAsia="黑体"/>
          <w:b/>
          <w:sz w:val="24"/>
        </w:rPr>
        <w:t>Sobol全局灵敏度分析</w:t>
      </w:r>
    </w:p>
    <w:p>
      <w:pPr>
        <w:spacing w:after="120" w:line="360" w:lineRule="auto"/>
        <w:ind w:firstLine="420"/>
      </w:pPr>
      <w:r>
        <w:rPr>
          <w:rFonts w:ascii="宋体" w:hAnsi="宋体" w:eastAsia="宋体"/>
          <w:b w:val="0"/>
          <w:sz w:val="24"/>
        </w:rPr>
        <w:t>为刻画参数对指标的全局与交互效应，采用自实现直接蒙特卡洛条件方差估计（样本量2×10⁵，固定种子）计算一阶与总效应指数[8,9]：</w:t>
      </w:r>
    </w:p>
    <w:p>
      <w:pPr>
        <w:spacing w:after="120" w:line="312" w:lineRule="auto"/>
        <w:jc w:val="center"/>
      </w:pPr>
      <w:r>
        <w:rPr>
          <w:rFonts w:ascii="宋体" w:hAnsi="宋体" w:eastAsia="宋体"/>
          <w:b w:val="0"/>
          <w:sz w:val="24"/>
        </w:rPr>
        <w:t>S_{1i}=\frac{\mathrm{Var}_{x_{\sim i}}\left(E[y\mid x_i]\right)}{\mathrm{Var}(y)},\qquad S_{Ti}=\frac{E_{x_{\sim i}}\left(\mathrm{Var}(y\mid x_{\sim i})\right)}{\mathrm{Var}(y)} \tag{3}</w:t>
      </w:r>
    </w:p>
    <w:p>
      <w:pPr>
        <w:spacing w:after="120" w:line="360" w:lineRule="auto"/>
        <w:ind w:firstLine="420"/>
      </w:pPr>
      <w:r>
        <w:rPr>
          <w:rFonts w:ascii="宋体" w:hAnsi="宋体" w:eastAsia="宋体"/>
          <w:b w:val="0"/>
          <w:sz w:val="24"/>
        </w:rPr>
        <w:t>结果如图5-21所示。</w:t>
      </w:r>
    </w:p>
    <w:p>
      <w:pPr>
        <w:jc w:val="center"/>
      </w:pPr>
      <w:r>
        <w:drawing>
          <wp:inline xmlns:a="http://schemas.openxmlformats.org/drawingml/2006/main" xmlns:pic="http://schemas.openxmlformats.org/drawingml/2006/picture">
            <wp:extent cx="4860000" cy="1465611"/>
            <wp:docPr id="22" name="Picture 22"/>
            <wp:cNvGraphicFramePr>
              <a:graphicFrameLocks noChangeAspect="1"/>
            </wp:cNvGraphicFramePr>
            <a:graphic>
              <a:graphicData uri="http://schemas.openxmlformats.org/drawingml/2006/picture">
                <pic:pic>
                  <pic:nvPicPr>
                    <pic:cNvPr id="0" name="q5_04_sobol.png"/>
                    <pic:cNvPicPr/>
                  </pic:nvPicPr>
                  <pic:blipFill>
                    <a:blip r:embed="rId30"/>
                    <a:stretch>
                      <a:fillRect/>
                    </a:stretch>
                  </pic:blipFill>
                  <pic:spPr>
                    <a:xfrm>
                      <a:off x="0" y="0"/>
                      <a:ext cx="4860000" cy="1465611"/>
                    </a:xfrm>
                    <a:prstGeom prst="rect"/>
                  </pic:spPr>
                </pic:pic>
              </a:graphicData>
            </a:graphic>
          </wp:inline>
        </w:drawing>
      </w:r>
    </w:p>
    <w:p>
      <w:pPr>
        <w:spacing w:after="200" w:line="288" w:lineRule="auto"/>
        <w:jc w:val="center"/>
      </w:pPr>
      <w:r>
        <w:rPr>
          <w:rFonts w:ascii="黑体" w:hAnsi="黑体" w:eastAsia="黑体"/>
          <w:b w:val="0"/>
          <w:sz w:val="21"/>
        </w:rPr>
        <w:t>图5-21 Sobol全局灵敏度指数（一阶/总效应）</w:t>
      </w:r>
    </w:p>
    <w:p>
      <w:pPr>
        <w:spacing w:after="120" w:line="360" w:lineRule="auto"/>
        <w:ind w:firstLine="420"/>
      </w:pPr>
      <w:r>
        <w:rPr>
          <w:rFonts w:ascii="宋体" w:hAnsi="宋体" w:eastAsia="宋体"/>
          <w:b w:val="0"/>
          <w:sz w:val="24"/>
        </w:rPr>
        <w:t>结果表明：$T$由$n$主导（$S_1=0.56$），$P$由$h$、$r$共同主导（$S_1$分别为0.36、0.27），$R$三参数较均衡（$S_1$为0.36/0.25/0.26）；总效应普遍高于一阶效应，说明存在参数交互，其中$r$、$n$的交互不可忽略。</w:t>
      </w:r>
    </w:p>
    <w:p>
      <w:pPr>
        <w:spacing w:before="160" w:after="120"/>
      </w:pPr>
      <w:r>
        <w:rPr>
          <w:rFonts w:ascii="黑体" w:hAnsi="黑体" w:eastAsia="黑体"/>
          <w:b/>
          <w:sz w:val="24"/>
        </w:rPr>
        <w:t>结果分析</w:t>
      </w:r>
    </w:p>
    <w:p>
      <w:pPr>
        <w:spacing w:after="120" w:line="360" w:lineRule="auto"/>
        <w:ind w:firstLine="420"/>
      </w:pPr>
      <w:r>
        <w:rPr>
          <w:rFonts w:ascii="宋体" w:hAnsi="宋体" w:eastAsia="宋体"/>
          <w:b w:val="0"/>
          <w:sz w:val="24"/>
        </w:rPr>
        <w:t>综合三种灵敏度视角，结论一致且互补：$P$对$h$最敏感（局部弹性最强、$P\propto1/h^2$），是唯一可能显著变差的指标，其主要风险源地位由失效概率（Q3方案7.02%、Q4方案9.57%）证实；$T$由$n$主导、$n=4$处U形谷值；$R$在三视角下均高度稳定（扰动下偏差&lt;1%）。两方案对比，Q4鲁棒方案因$r$偏大、$r$—$P$弹性较大，其$P$的CV（7.03%）与失效概率（9.57%）略高于Q3方案，但$R$、$T$稳定性相当且均高度稳定，鲁棒性代价主要体现在压降指标。结合问题四的权重鲁棒性结论，推荐工程上取$r\in[0.20,0.24]$、$h$取可行域上界4.5、$n\in\{4,6\}$，兼顾三指标均衡与稳健性；实际生产中应优先控制$h$、$n$的公差。</w:t>
      </w:r>
    </w:p>
    <w:p>
      <w:pPr>
        <w:spacing w:before="240" w:after="160"/>
      </w:pPr>
      <w:r>
        <w:rPr>
          <w:rFonts w:ascii="黑体" w:hAnsi="黑体" w:eastAsia="黑体"/>
          <w:b/>
          <w:sz w:val="32"/>
        </w:rPr>
        <w:t>模型检验</w:t>
      </w:r>
    </w:p>
    <w:p>
      <w:pPr>
        <w:spacing w:after="120" w:line="360" w:lineRule="auto"/>
        <w:ind w:firstLine="420"/>
      </w:pPr>
      <w:r>
        <w:rPr>
          <w:rFonts w:ascii="宋体" w:hAnsi="宋体" w:eastAsia="宋体"/>
          <w:b w:val="0"/>
          <w:sz w:val="24"/>
        </w:rPr>
        <w:t>本章从误差分析、灵敏度分析与稳健性检验三个维度，对前文建立的五类模型进行系统的检验与交叉验证。</w:t>
      </w:r>
    </w:p>
    <w:p>
      <w:pPr>
        <w:spacing w:before="160" w:after="120"/>
      </w:pPr>
      <w:r>
        <w:rPr>
          <w:rFonts w:ascii="黑体" w:hAnsi="黑体" w:eastAsia="黑体"/>
          <w:b/>
          <w:sz w:val="28"/>
        </w:rPr>
        <w:t>误差分析</w:t>
      </w:r>
    </w:p>
    <w:p>
      <w:pPr>
        <w:spacing w:before="160" w:after="120"/>
      </w:pPr>
      <w:r>
        <w:rPr>
          <w:rFonts w:ascii="黑体" w:hAnsi="黑体" w:eastAsia="黑体"/>
          <w:b/>
          <w:sz w:val="24"/>
        </w:rPr>
        <w:t>机理模型误差</w:t>
      </w:r>
    </w:p>
    <w:p>
      <w:pPr>
        <w:spacing w:after="120" w:line="360" w:lineRule="auto"/>
        <w:ind w:firstLine="420"/>
      </w:pPr>
      <w:r>
        <w:rPr>
          <w:rFonts w:ascii="宋体" w:hAnsi="宋体" w:eastAsia="宋体"/>
          <w:b w:val="0"/>
          <w:sz w:val="24"/>
        </w:rPr>
        <w:t>问题一流向分段热—流耦合机理模型经$\kappa$系数标定后，三指标的拟合精度为：$P$的Pearson相关系数达0.882（$R^2=0.779$），RMSE为0.0147；$R$的Pearson相关系数为0.554（$R^2=0.307$），RMSE为0.0281；$T$的Pearson相关系数为0.461（$R^2=0.212$），RMSE为0.0429。$P$的拟合精度较高，$R$与$T$的$R^2$偏低，原因在于数据中$R$量程仅约0.05（相对变化约7%）、$T$虽量程稍大但U型非单调结构对简化机理公式构成挑战。机理模型的核心定位是复现影响规律方向——九个影响方向全部正确，$P$随$h$的$1/h^2$形态、$T$随$n$的U型谷值均被模型再现——精确映射由问题二GPR代理模型承担。</w:t>
      </w:r>
    </w:p>
    <w:p>
      <w:pPr>
        <w:spacing w:before="160" w:after="120"/>
      </w:pPr>
      <w:r>
        <w:rPr>
          <w:rFonts w:ascii="黑体" w:hAnsi="黑体" w:eastAsia="黑体"/>
          <w:b/>
          <w:sz w:val="24"/>
        </w:rPr>
        <w:t>GPR代理模型误差</w:t>
      </w:r>
    </w:p>
    <w:p>
      <w:pPr>
        <w:spacing w:after="120" w:line="360" w:lineRule="auto"/>
        <w:ind w:firstLine="420"/>
      </w:pPr>
      <w:r>
        <w:rPr>
          <w:rFonts w:ascii="宋体" w:hAnsi="宋体" w:eastAsia="宋体"/>
          <w:b w:val="0"/>
          <w:sz w:val="24"/>
        </w:rPr>
        <w:t>问题二GPR代理模型经5折交叉验证与留一法双重校验，三指标的$R^2$与RMSE如表6-1所示。</w:t>
      </w:r>
    </w:p>
    <w:p>
      <w:pPr>
        <w:spacing w:after="120" w:line="360" w:lineRule="auto"/>
        <w:ind w:firstLine="420"/>
      </w:pPr>
      <w:r>
        <w:rPr>
          <w:rFonts w:ascii="宋体" w:hAnsi="宋体" w:eastAsia="宋体"/>
          <w:b/>
          <w:sz w:val="24"/>
        </w:rPr>
        <w:t>表6-1 GPR代理模型交叉验证精度汇总</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1296"/>
        <w:gridCol w:w="1296"/>
        <w:gridCol w:w="1296"/>
        <w:gridCol w:w="1296"/>
        <w:gridCol w:w="1296"/>
        <w:gridCol w:w="1296"/>
        <w:gridCol w:w="1296"/>
      </w:tblGrid>
      <w:tr>
        <w:tc>
          <w:tcPr>
            <w:tcW w:type="dxa" w:w="1296"/>
            <w:tcBorders>
              <w:bottom w:val="single" w:sz="6" w:color="000000"/>
            </w:tcBorders>
          </w:tcPr>
          <w:p>
            <w:pPr>
              <w:jc w:val="center"/>
            </w:pPr>
            <w:r/>
            <w:r>
              <w:rPr>
                <w:rFonts w:ascii="宋体" w:hAnsi="宋体" w:eastAsia="宋体"/>
                <w:b/>
                <w:sz w:val="21"/>
              </w:rPr>
              <w:t>验证方式</w:t>
            </w:r>
          </w:p>
        </w:tc>
        <w:tc>
          <w:tcPr>
            <w:tcW w:type="dxa" w:w="1296"/>
            <w:tcBorders>
              <w:bottom w:val="single" w:sz="6" w:color="000000"/>
            </w:tcBorders>
          </w:tcPr>
          <w:p>
            <w:pPr>
              <w:jc w:val="center"/>
            </w:pPr>
            <w:r/>
            <w:r>
              <w:rPr>
                <w:rFonts w:ascii="宋体" w:hAnsi="宋体" w:eastAsia="宋体"/>
                <w:b/>
                <w:sz w:val="21"/>
              </w:rPr>
              <w:t>$R$-$R^2$</w:t>
            </w:r>
          </w:p>
        </w:tc>
        <w:tc>
          <w:tcPr>
            <w:tcW w:type="dxa" w:w="1296"/>
            <w:tcBorders>
              <w:bottom w:val="single" w:sz="6" w:color="000000"/>
            </w:tcBorders>
          </w:tcPr>
          <w:p>
            <w:pPr>
              <w:jc w:val="center"/>
            </w:pPr>
            <w:r/>
            <w:r>
              <w:rPr>
                <w:rFonts w:ascii="宋体" w:hAnsi="宋体" w:eastAsia="宋体"/>
                <w:b/>
                <w:sz w:val="21"/>
              </w:rPr>
              <w:t>$R$-RMSE</w:t>
            </w:r>
          </w:p>
        </w:tc>
        <w:tc>
          <w:tcPr>
            <w:tcW w:type="dxa" w:w="1296"/>
            <w:tcBorders>
              <w:bottom w:val="single" w:sz="6" w:color="000000"/>
            </w:tcBorders>
          </w:tcPr>
          <w:p>
            <w:pPr>
              <w:jc w:val="center"/>
            </w:pPr>
            <w:r/>
            <w:r>
              <w:rPr>
                <w:rFonts w:ascii="宋体" w:hAnsi="宋体" w:eastAsia="宋体"/>
                <w:b/>
                <w:sz w:val="21"/>
              </w:rPr>
              <w:t>$P$-$R^2$</w:t>
            </w:r>
          </w:p>
        </w:tc>
        <w:tc>
          <w:tcPr>
            <w:tcW w:type="dxa" w:w="1296"/>
            <w:tcBorders>
              <w:bottom w:val="single" w:sz="6" w:color="000000"/>
            </w:tcBorders>
          </w:tcPr>
          <w:p>
            <w:pPr>
              <w:jc w:val="center"/>
            </w:pPr>
            <w:r/>
            <w:r>
              <w:rPr>
                <w:rFonts w:ascii="宋体" w:hAnsi="宋体" w:eastAsia="宋体"/>
                <w:b/>
                <w:sz w:val="21"/>
              </w:rPr>
              <w:t>$P$-RMSE</w:t>
            </w:r>
          </w:p>
        </w:tc>
        <w:tc>
          <w:tcPr>
            <w:tcW w:type="dxa" w:w="1296"/>
            <w:tcBorders>
              <w:bottom w:val="single" w:sz="6" w:color="000000"/>
            </w:tcBorders>
          </w:tcPr>
          <w:p>
            <w:pPr>
              <w:jc w:val="center"/>
            </w:pPr>
            <w:r/>
            <w:r>
              <w:rPr>
                <w:rFonts w:ascii="宋体" w:hAnsi="宋体" w:eastAsia="宋体"/>
                <w:b/>
                <w:sz w:val="21"/>
              </w:rPr>
              <w:t>$T$-$R^2$</w:t>
            </w:r>
          </w:p>
        </w:tc>
        <w:tc>
          <w:tcPr>
            <w:tcW w:type="dxa" w:w="1296"/>
            <w:tcBorders>
              <w:bottom w:val="single" w:sz="6" w:color="000000"/>
            </w:tcBorders>
          </w:tcPr>
          <w:p>
            <w:pPr>
              <w:jc w:val="center"/>
            </w:pPr>
            <w:r/>
            <w:r>
              <w:rPr>
                <w:rFonts w:ascii="宋体" w:hAnsi="宋体" w:eastAsia="宋体"/>
                <w:b/>
                <w:sz w:val="21"/>
              </w:rPr>
              <w:t>$T$-RMSE</w:t>
            </w:r>
          </w:p>
        </w:tc>
      </w:tr>
      <w:tr>
        <w:tc>
          <w:tcPr>
            <w:tcW w:type="dxa" w:w="1296"/>
          </w:tcPr>
          <w:p>
            <w:pPr>
              <w:jc w:val="center"/>
            </w:pPr>
            <w:r/>
            <w:r>
              <w:rPr>
                <w:rFonts w:ascii="宋体" w:hAnsi="宋体" w:eastAsia="宋体"/>
                <w:sz w:val="21"/>
              </w:rPr>
              <w:t>5折交叉验证</w:t>
            </w:r>
          </w:p>
        </w:tc>
        <w:tc>
          <w:tcPr>
            <w:tcW w:type="dxa" w:w="1296"/>
          </w:tcPr>
          <w:p>
            <w:pPr>
              <w:jc w:val="center"/>
            </w:pPr>
            <w:r/>
            <w:r>
              <w:rPr>
                <w:rFonts w:ascii="宋体" w:hAnsi="宋体" w:eastAsia="宋体"/>
                <w:sz w:val="21"/>
              </w:rPr>
              <w:t>0.9981</w:t>
            </w:r>
          </w:p>
        </w:tc>
        <w:tc>
          <w:tcPr>
            <w:tcW w:type="dxa" w:w="1296"/>
          </w:tcPr>
          <w:p>
            <w:pPr>
              <w:jc w:val="center"/>
            </w:pPr>
            <w:r/>
            <w:r>
              <w:rPr>
                <w:rFonts w:ascii="宋体" w:hAnsi="宋体" w:eastAsia="宋体"/>
                <w:sz w:val="21"/>
              </w:rPr>
              <w:t>$4.45\times10^{-4}$</w:t>
            </w:r>
          </w:p>
        </w:tc>
        <w:tc>
          <w:tcPr>
            <w:tcW w:type="dxa" w:w="1296"/>
          </w:tcPr>
          <w:p>
            <w:pPr>
              <w:jc w:val="center"/>
            </w:pPr>
            <w:r/>
            <w:r>
              <w:rPr>
                <w:rFonts w:ascii="宋体" w:hAnsi="宋体" w:eastAsia="宋体"/>
                <w:sz w:val="21"/>
              </w:rPr>
              <w:t>0.9988</w:t>
            </w:r>
          </w:p>
        </w:tc>
        <w:tc>
          <w:tcPr>
            <w:tcW w:type="dxa" w:w="1296"/>
          </w:tcPr>
          <w:p>
            <w:pPr>
              <w:jc w:val="center"/>
            </w:pPr>
            <w:r/>
            <w:r>
              <w:rPr>
                <w:rFonts w:ascii="宋体" w:hAnsi="宋体" w:eastAsia="宋体"/>
                <w:sz w:val="21"/>
              </w:rPr>
              <w:t>$7.37\times10^{-4}$</w:t>
            </w:r>
          </w:p>
        </w:tc>
        <w:tc>
          <w:tcPr>
            <w:tcW w:type="dxa" w:w="1296"/>
          </w:tcPr>
          <w:p>
            <w:pPr>
              <w:jc w:val="center"/>
            </w:pPr>
            <w:r/>
            <w:r>
              <w:rPr>
                <w:rFonts w:ascii="宋体" w:hAnsi="宋体" w:eastAsia="宋体"/>
                <w:sz w:val="21"/>
              </w:rPr>
              <w:t>0.9941</w:t>
            </w:r>
          </w:p>
        </w:tc>
        <w:tc>
          <w:tcPr>
            <w:tcW w:type="dxa" w:w="1296"/>
          </w:tcPr>
          <w:p>
            <w:pPr>
              <w:jc w:val="center"/>
            </w:pPr>
            <w:r/>
            <w:r>
              <w:rPr>
                <w:rFonts w:ascii="宋体" w:hAnsi="宋体" w:eastAsia="宋体"/>
                <w:sz w:val="21"/>
              </w:rPr>
              <w:t>$1.40\times10^{-3}$</w:t>
            </w:r>
          </w:p>
        </w:tc>
      </w:tr>
      <w:tr>
        <w:tc>
          <w:tcPr>
            <w:tcW w:type="dxa" w:w="1296"/>
          </w:tcPr>
          <w:p>
            <w:pPr>
              <w:jc w:val="center"/>
            </w:pPr>
            <w:r/>
            <w:r>
              <w:rPr>
                <w:rFonts w:ascii="宋体" w:hAnsi="宋体" w:eastAsia="宋体"/>
                <w:sz w:val="21"/>
              </w:rPr>
              <w:t>留一法（LOOCV）</w:t>
            </w:r>
          </w:p>
        </w:tc>
        <w:tc>
          <w:tcPr>
            <w:tcW w:type="dxa" w:w="1296"/>
          </w:tcPr>
          <w:p>
            <w:pPr>
              <w:jc w:val="center"/>
            </w:pPr>
            <w:r/>
            <w:r>
              <w:rPr>
                <w:rFonts w:ascii="宋体" w:hAnsi="宋体" w:eastAsia="宋体"/>
                <w:sz w:val="21"/>
              </w:rPr>
              <w:t>0.9986</w:t>
            </w:r>
          </w:p>
        </w:tc>
        <w:tc>
          <w:tcPr>
            <w:tcW w:type="dxa" w:w="1296"/>
          </w:tcPr>
          <w:p>
            <w:pPr>
              <w:jc w:val="center"/>
            </w:pPr>
            <w:r/>
            <w:r>
              <w:rPr>
                <w:rFonts w:ascii="宋体" w:hAnsi="宋体" w:eastAsia="宋体"/>
                <w:sz w:val="21"/>
              </w:rPr>
              <w:t>—</w:t>
            </w:r>
          </w:p>
        </w:tc>
        <w:tc>
          <w:tcPr>
            <w:tcW w:type="dxa" w:w="1296"/>
          </w:tcPr>
          <w:p>
            <w:pPr>
              <w:jc w:val="center"/>
            </w:pPr>
            <w:r/>
            <w:r>
              <w:rPr>
                <w:rFonts w:ascii="宋体" w:hAnsi="宋体" w:eastAsia="宋体"/>
                <w:sz w:val="21"/>
              </w:rPr>
              <w:t>0.9991</w:t>
            </w:r>
          </w:p>
        </w:tc>
        <w:tc>
          <w:tcPr>
            <w:tcW w:type="dxa" w:w="1296"/>
          </w:tcPr>
          <w:p>
            <w:pPr>
              <w:jc w:val="center"/>
            </w:pPr>
            <w:r/>
            <w:r>
              <w:rPr>
                <w:rFonts w:ascii="宋体" w:hAnsi="宋体" w:eastAsia="宋体"/>
                <w:sz w:val="21"/>
              </w:rPr>
              <w:t>—</w:t>
            </w:r>
          </w:p>
        </w:tc>
        <w:tc>
          <w:tcPr>
            <w:tcW w:type="dxa" w:w="1296"/>
          </w:tcPr>
          <w:p>
            <w:pPr>
              <w:jc w:val="center"/>
            </w:pPr>
            <w:r/>
            <w:r>
              <w:rPr>
                <w:rFonts w:ascii="宋体" w:hAnsi="宋体" w:eastAsia="宋体"/>
                <w:sz w:val="21"/>
              </w:rPr>
              <w:t>0.9966</w:t>
            </w:r>
          </w:p>
        </w:tc>
        <w:tc>
          <w:tcPr>
            <w:tcW w:type="dxa" w:w="1296"/>
          </w:tcPr>
          <w:p>
            <w:pPr>
              <w:jc w:val="center"/>
            </w:pPr>
            <w:r/>
            <w:r>
              <w:rPr>
                <w:rFonts w:ascii="宋体" w:hAnsi="宋体" w:eastAsia="宋体"/>
                <w:sz w:val="21"/>
              </w:rPr>
              <w:t>—</w:t>
            </w:r>
          </w:p>
        </w:tc>
      </w:tr>
    </w:tbl>
    <w:p>
      <w:pPr>
        <w:spacing w:after="120" w:line="360" w:lineRule="auto"/>
        <w:ind w:firstLine="420"/>
      </w:pPr>
      <w:r>
        <w:rPr>
          <w:rFonts w:ascii="宋体" w:hAnsi="宋体" w:eastAsia="宋体"/>
          <w:b w:val="0"/>
          <w:sz w:val="24"/>
        </w:rPr>
        <w:t>$R$指标的RRMSE（相对RMSE = RMSE/量程）为0.0086，即仅为量程的0.86%。留一法$R^2$均高于0.996，且各折$R^2$波动小，表明模型未过拟合、泛化能力可靠。与多项式回归（$R$指标$R^2=1.0$实为过参数化插值，无法输出预测方差）和随机森林（$R^2$仅0.65~0.82）相比，GPR是唯一兼具"高精度+防过拟合+不确定度量化"三重优势的代理方案。</w:t>
      </w:r>
    </w:p>
    <w:p>
      <w:pPr>
        <w:spacing w:before="160" w:after="120"/>
      </w:pPr>
      <w:r>
        <w:rPr>
          <w:rFonts w:ascii="黑体" w:hAnsi="黑体" w:eastAsia="黑体"/>
          <w:b/>
          <w:sz w:val="24"/>
        </w:rPr>
        <w:t>多目标优化与鲁棒设计验证</w:t>
      </w:r>
    </w:p>
    <w:p>
      <w:pPr>
        <w:spacing w:after="120" w:line="360" w:lineRule="auto"/>
        <w:ind w:firstLine="420"/>
      </w:pPr>
      <w:r>
        <w:rPr>
          <w:rFonts w:ascii="宋体" w:hAnsi="宋体" w:eastAsia="宋体"/>
          <w:b w:val="0"/>
          <w:sz w:val="24"/>
        </w:rPr>
        <w:t>问题三采用NSGA-II（种群120、代数300、5个随机种子取并集前沿，SBX交叉率0.9、多项式变异率0.1）求得的Pareto前沿含442个非支配点，支配附件2中82/84（97.6%）的数据设计点。三路线交叉验证（熵权TOPSIS、等权重TOPSIS、等权重标量化DE）给出的最优设计距离仅0.20（归一化后&lt;0.3为基本一致），表明结论稳健。整数取整后用GPR代理复算校正，取整前后三指标最大偏差控制在0.01以内，验证了取整策略的可靠性。</w:t>
      </w:r>
    </w:p>
    <w:p>
      <w:pPr>
        <w:spacing w:after="120" w:line="360" w:lineRule="auto"/>
        <w:ind w:firstLine="420"/>
      </w:pPr>
      <w:r>
        <w:rPr>
          <w:rFonts w:ascii="宋体" w:hAnsi="宋体" w:eastAsia="宋体"/>
          <w:b w:val="0"/>
          <w:sz w:val="24"/>
        </w:rPr>
        <w:t>问题四权重扫描（在$\Delta^3$单纯形上网格采样）中，各权重组合的标量化最优解均落于训练域内，且$r^*$漂移CV仅约0.16，$h^*$严格取上界4.5，说明优化结果对权重变化具有一定程度的稳健性，同时$h$的上边界特征（歧管越深越有利于综合性能）在各场景下一致。</w:t>
      </w:r>
    </w:p>
    <w:p>
      <w:pPr>
        <w:spacing w:before="160" w:after="120"/>
      </w:pPr>
      <w:r>
        <w:rPr>
          <w:rFonts w:ascii="黑体" w:hAnsi="黑体" w:eastAsia="黑体"/>
          <w:b/>
          <w:sz w:val="28"/>
        </w:rPr>
        <w:t>灵敏度分析</w:t>
      </w:r>
    </w:p>
    <w:p>
      <w:pPr>
        <w:spacing w:after="120" w:line="360" w:lineRule="auto"/>
        <w:ind w:firstLine="420"/>
      </w:pPr>
      <w:r>
        <w:rPr>
          <w:rFonts w:ascii="宋体" w:hAnsi="宋体" w:eastAsia="宋体"/>
          <w:b w:val="0"/>
          <w:sz w:val="24"/>
        </w:rPr>
        <w:t>在问题五的基础上，对Q3综合最优方案（$r=0.2148$，$h=4.50$，$n=6$）与Q4鲁棒方案（$r=0.2364$，$h=4.50$，$n=6$）进行参数扰动验证（以GPR代理模型重算），结果如表6-2和表6-3所示。</w:t>
      </w:r>
    </w:p>
    <w:p>
      <w:pPr>
        <w:spacing w:after="120" w:line="360" w:lineRule="auto"/>
        <w:ind w:firstLine="420"/>
      </w:pPr>
      <w:r>
        <w:rPr>
          <w:rFonts w:ascii="宋体" w:hAnsi="宋体" w:eastAsia="宋体"/>
          <w:b/>
          <w:sz w:val="24"/>
        </w:rPr>
        <w:t>表6-2 参数扰动对各指标的影响（Q3综合最优方案）</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1814"/>
        <w:gridCol w:w="1814"/>
        <w:gridCol w:w="1814"/>
        <w:gridCol w:w="1814"/>
        <w:gridCol w:w="1814"/>
      </w:tblGrid>
      <w:tr>
        <w:tc>
          <w:tcPr>
            <w:tcW w:type="dxa" w:w="1814"/>
            <w:tcBorders>
              <w:bottom w:val="single" w:sz="6" w:color="000000"/>
            </w:tcBorders>
          </w:tcPr>
          <w:p>
            <w:pPr>
              <w:jc w:val="center"/>
            </w:pPr>
            <w:r/>
            <w:r>
              <w:rPr>
                <w:rFonts w:ascii="宋体" w:hAnsi="宋体" w:eastAsia="宋体"/>
                <w:b/>
                <w:sz w:val="21"/>
              </w:rPr>
              <w:t>扰动参数</w:t>
            </w:r>
          </w:p>
        </w:tc>
        <w:tc>
          <w:tcPr>
            <w:tcW w:type="dxa" w:w="1814"/>
            <w:tcBorders>
              <w:bottom w:val="single" w:sz="6" w:color="000000"/>
            </w:tcBorders>
          </w:tcPr>
          <w:p>
            <w:pPr>
              <w:jc w:val="center"/>
            </w:pPr>
            <w:r/>
            <w:r>
              <w:rPr>
                <w:rFonts w:ascii="宋体" w:hAnsi="宋体" w:eastAsia="宋体"/>
                <w:b/>
                <w:sz w:val="21"/>
              </w:rPr>
              <w:t>扰动幅度</w:t>
            </w:r>
          </w:p>
        </w:tc>
        <w:tc>
          <w:tcPr>
            <w:tcW w:type="dxa" w:w="1814"/>
            <w:tcBorders>
              <w:bottom w:val="single" w:sz="6" w:color="000000"/>
            </w:tcBorders>
          </w:tcPr>
          <w:p>
            <w:pPr>
              <w:jc w:val="center"/>
            </w:pPr>
            <w:r/>
            <w:r>
              <w:rPr>
                <w:rFonts w:ascii="宋体" w:hAnsi="宋体" w:eastAsia="宋体"/>
                <w:b/>
                <w:sz w:val="21"/>
              </w:rPr>
              <w:t>$R$变化</w:t>
            </w:r>
          </w:p>
        </w:tc>
        <w:tc>
          <w:tcPr>
            <w:tcW w:type="dxa" w:w="1814"/>
            <w:tcBorders>
              <w:bottom w:val="single" w:sz="6" w:color="000000"/>
            </w:tcBorders>
          </w:tcPr>
          <w:p>
            <w:pPr>
              <w:jc w:val="center"/>
            </w:pPr>
            <w:r/>
            <w:r>
              <w:rPr>
                <w:rFonts w:ascii="宋体" w:hAnsi="宋体" w:eastAsia="宋体"/>
                <w:b/>
                <w:sz w:val="21"/>
              </w:rPr>
              <w:t>$P$变化</w:t>
            </w:r>
          </w:p>
        </w:tc>
        <w:tc>
          <w:tcPr>
            <w:tcW w:type="dxa" w:w="1814"/>
            <w:tcBorders>
              <w:bottom w:val="single" w:sz="6" w:color="000000"/>
            </w:tcBorders>
          </w:tcPr>
          <w:p>
            <w:pPr>
              <w:jc w:val="center"/>
            </w:pPr>
            <w:r/>
            <w:r>
              <w:rPr>
                <w:rFonts w:ascii="宋体" w:hAnsi="宋体" w:eastAsia="宋体"/>
                <w:b/>
                <w:sz w:val="21"/>
              </w:rPr>
              <w:t>$T$变化</w:t>
            </w:r>
          </w:p>
        </w:tc>
      </w:tr>
      <w:tr>
        <w:tc>
          <w:tcPr>
            <w:tcW w:type="dxa" w:w="1814"/>
          </w:tcPr>
          <w:p>
            <w:pPr>
              <w:jc w:val="center"/>
            </w:pPr>
            <w:r/>
            <w:r>
              <w:rPr>
                <w:rFonts w:ascii="宋体" w:hAnsi="宋体" w:eastAsia="宋体"/>
                <w:sz w:val="21"/>
              </w:rPr>
              <w:t>$r$</w:t>
            </w:r>
          </w:p>
        </w:tc>
        <w:tc>
          <w:tcPr>
            <w:tcW w:type="dxa" w:w="1814"/>
          </w:tcPr>
          <w:p>
            <w:pPr>
              <w:jc w:val="center"/>
            </w:pPr>
            <w:r/>
            <w:r>
              <w:rPr>
                <w:rFonts w:ascii="宋体" w:hAnsi="宋体" w:eastAsia="宋体"/>
                <w:sz w:val="21"/>
              </w:rPr>
              <w:t>+10%</w:t>
            </w:r>
          </w:p>
        </w:tc>
        <w:tc>
          <w:tcPr>
            <w:tcW w:type="dxa" w:w="1814"/>
          </w:tcPr>
          <w:p>
            <w:pPr>
              <w:jc w:val="center"/>
            </w:pPr>
            <w:r/>
            <w:r>
              <w:rPr>
                <w:rFonts w:ascii="宋体" w:hAnsi="宋体" w:eastAsia="宋体"/>
                <w:sz w:val="21"/>
              </w:rPr>
              <w:t>−0.11%</w:t>
            </w:r>
          </w:p>
        </w:tc>
        <w:tc>
          <w:tcPr>
            <w:tcW w:type="dxa" w:w="1814"/>
          </w:tcPr>
          <w:p>
            <w:pPr>
              <w:jc w:val="center"/>
            </w:pPr>
            <w:r/>
            <w:r>
              <w:rPr>
                <w:rFonts w:ascii="宋体" w:hAnsi="宋体" w:eastAsia="宋体"/>
                <w:sz w:val="21"/>
              </w:rPr>
              <w:t>+4.18%</w:t>
            </w:r>
          </w:p>
        </w:tc>
        <w:tc>
          <w:tcPr>
            <w:tcW w:type="dxa" w:w="1814"/>
          </w:tcPr>
          <w:p>
            <w:pPr>
              <w:jc w:val="center"/>
            </w:pPr>
            <w:r/>
            <w:r>
              <w:rPr>
                <w:rFonts w:ascii="宋体" w:hAnsi="宋体" w:eastAsia="宋体"/>
                <w:sz w:val="21"/>
              </w:rPr>
              <w:t>−0.01%</w:t>
            </w:r>
          </w:p>
        </w:tc>
      </w:tr>
      <w:tr>
        <w:tc>
          <w:tcPr>
            <w:tcW w:type="dxa" w:w="1814"/>
          </w:tcPr>
          <w:p>
            <w:pPr>
              <w:jc w:val="center"/>
            </w:pPr>
            <w:r/>
            <w:r>
              <w:rPr>
                <w:rFonts w:ascii="宋体" w:hAnsi="宋体" w:eastAsia="宋体"/>
                <w:sz w:val="21"/>
              </w:rPr>
              <w:t>$r$</w:t>
            </w:r>
          </w:p>
        </w:tc>
        <w:tc>
          <w:tcPr>
            <w:tcW w:type="dxa" w:w="1814"/>
          </w:tcPr>
          <w:p>
            <w:pPr>
              <w:jc w:val="center"/>
            </w:pPr>
            <w:r/>
            <w:r>
              <w:rPr>
                <w:rFonts w:ascii="宋体" w:hAnsi="宋体" w:eastAsia="宋体"/>
                <w:sz w:val="21"/>
              </w:rPr>
              <w:t>−10%</w:t>
            </w:r>
          </w:p>
        </w:tc>
        <w:tc>
          <w:tcPr>
            <w:tcW w:type="dxa" w:w="1814"/>
          </w:tcPr>
          <w:p>
            <w:pPr>
              <w:jc w:val="center"/>
            </w:pPr>
            <w:r/>
            <w:r>
              <w:rPr>
                <w:rFonts w:ascii="宋体" w:hAnsi="宋体" w:eastAsia="宋体"/>
                <w:sz w:val="21"/>
              </w:rPr>
              <w:t>+0.14%</w:t>
            </w:r>
          </w:p>
        </w:tc>
        <w:tc>
          <w:tcPr>
            <w:tcW w:type="dxa" w:w="1814"/>
          </w:tcPr>
          <w:p>
            <w:pPr>
              <w:jc w:val="center"/>
            </w:pPr>
            <w:r/>
            <w:r>
              <w:rPr>
                <w:rFonts w:ascii="宋体" w:hAnsi="宋体" w:eastAsia="宋体"/>
                <w:sz w:val="21"/>
              </w:rPr>
              <w:t>−4.00%</w:t>
            </w:r>
          </w:p>
        </w:tc>
        <w:tc>
          <w:tcPr>
            <w:tcW w:type="dxa" w:w="1814"/>
          </w:tcPr>
          <w:p>
            <w:pPr>
              <w:jc w:val="center"/>
            </w:pPr>
            <w:r/>
            <w:r>
              <w:rPr>
                <w:rFonts w:ascii="宋体" w:hAnsi="宋体" w:eastAsia="宋体"/>
                <w:sz w:val="21"/>
              </w:rPr>
              <w:t>+0.04%</w:t>
            </w:r>
          </w:p>
        </w:tc>
      </w:tr>
      <w:tr>
        <w:tc>
          <w:tcPr>
            <w:tcW w:type="dxa" w:w="1814"/>
          </w:tcPr>
          <w:p>
            <w:pPr>
              <w:jc w:val="center"/>
            </w:pPr>
            <w:r/>
            <w:r>
              <w:rPr>
                <w:rFonts w:ascii="宋体" w:hAnsi="宋体" w:eastAsia="宋体"/>
                <w:sz w:val="21"/>
              </w:rPr>
              <w:t>$h$</w:t>
            </w:r>
          </w:p>
        </w:tc>
        <w:tc>
          <w:tcPr>
            <w:tcW w:type="dxa" w:w="1814"/>
          </w:tcPr>
          <w:p>
            <w:pPr>
              <w:jc w:val="center"/>
            </w:pPr>
            <w:r/>
            <w:r>
              <w:rPr>
                <w:rFonts w:ascii="宋体" w:hAnsi="宋体" w:eastAsia="宋体"/>
                <w:sz w:val="21"/>
              </w:rPr>
              <w:t>+10%</w:t>
            </w:r>
          </w:p>
        </w:tc>
        <w:tc>
          <w:tcPr>
            <w:tcW w:type="dxa" w:w="1814"/>
          </w:tcPr>
          <w:p>
            <w:pPr>
              <w:jc w:val="center"/>
            </w:pPr>
            <w:r/>
            <w:r>
              <w:rPr>
                <w:rFonts w:ascii="宋体" w:hAnsi="宋体" w:eastAsia="宋体"/>
                <w:sz w:val="21"/>
              </w:rPr>
              <w:t>+0.00%</w:t>
            </w:r>
          </w:p>
        </w:tc>
        <w:tc>
          <w:tcPr>
            <w:tcW w:type="dxa" w:w="1814"/>
          </w:tcPr>
          <w:p>
            <w:pPr>
              <w:jc w:val="center"/>
            </w:pPr>
            <w:r/>
            <w:r>
              <w:rPr>
                <w:rFonts w:ascii="宋体" w:hAnsi="宋体" w:eastAsia="宋体"/>
                <w:sz w:val="21"/>
              </w:rPr>
              <w:t>+0.00%</w:t>
            </w:r>
          </w:p>
        </w:tc>
        <w:tc>
          <w:tcPr>
            <w:tcW w:type="dxa" w:w="1814"/>
          </w:tcPr>
          <w:p>
            <w:pPr>
              <w:jc w:val="center"/>
            </w:pPr>
            <w:r/>
            <w:r>
              <w:rPr>
                <w:rFonts w:ascii="宋体" w:hAnsi="宋体" w:eastAsia="宋体"/>
                <w:sz w:val="21"/>
              </w:rPr>
              <w:t>+0.04%</w:t>
            </w:r>
          </w:p>
        </w:tc>
      </w:tr>
      <w:tr>
        <w:tc>
          <w:tcPr>
            <w:tcW w:type="dxa" w:w="1814"/>
          </w:tcPr>
          <w:p>
            <w:pPr>
              <w:jc w:val="center"/>
            </w:pPr>
            <w:r/>
            <w:r>
              <w:rPr>
                <w:rFonts w:ascii="宋体" w:hAnsi="宋体" w:eastAsia="宋体"/>
                <w:sz w:val="21"/>
              </w:rPr>
              <w:t>$h$</w:t>
            </w:r>
          </w:p>
        </w:tc>
        <w:tc>
          <w:tcPr>
            <w:tcW w:type="dxa" w:w="1814"/>
          </w:tcPr>
          <w:p>
            <w:pPr>
              <w:jc w:val="center"/>
            </w:pPr>
            <w:r/>
            <w:r>
              <w:rPr>
                <w:rFonts w:ascii="宋体" w:hAnsi="宋体" w:eastAsia="宋体"/>
                <w:sz w:val="21"/>
              </w:rPr>
              <w:t>−10%</w:t>
            </w:r>
          </w:p>
        </w:tc>
        <w:tc>
          <w:tcPr>
            <w:tcW w:type="dxa" w:w="1814"/>
          </w:tcPr>
          <w:p>
            <w:pPr>
              <w:jc w:val="center"/>
            </w:pPr>
            <w:r/>
            <w:r>
              <w:rPr>
                <w:rFonts w:ascii="宋体" w:hAnsi="宋体" w:eastAsia="宋体"/>
                <w:sz w:val="21"/>
              </w:rPr>
              <w:t>+0.48%</w:t>
            </w:r>
          </w:p>
        </w:tc>
        <w:tc>
          <w:tcPr>
            <w:tcW w:type="dxa" w:w="1814"/>
          </w:tcPr>
          <w:p>
            <w:pPr>
              <w:jc w:val="center"/>
            </w:pPr>
            <w:r/>
            <w:r>
              <w:rPr>
                <w:rFonts w:ascii="宋体" w:hAnsi="宋体" w:eastAsia="宋体"/>
                <w:sz w:val="21"/>
              </w:rPr>
              <w:t>−7.04%</w:t>
            </w:r>
          </w:p>
        </w:tc>
        <w:tc>
          <w:tcPr>
            <w:tcW w:type="dxa" w:w="1814"/>
          </w:tcPr>
          <w:p>
            <w:pPr>
              <w:jc w:val="center"/>
            </w:pPr>
            <w:r/>
            <w:r>
              <w:rPr>
                <w:rFonts w:ascii="宋体" w:hAnsi="宋体" w:eastAsia="宋体"/>
                <w:sz w:val="21"/>
              </w:rPr>
              <w:t>+0.29%</w:t>
            </w:r>
          </w:p>
        </w:tc>
      </w:tr>
      <w:tr>
        <w:tc>
          <w:tcPr>
            <w:tcW w:type="dxa" w:w="1814"/>
          </w:tcPr>
          <w:p>
            <w:pPr>
              <w:jc w:val="center"/>
            </w:pPr>
            <w:r/>
            <w:r>
              <w:rPr>
                <w:rFonts w:ascii="宋体" w:hAnsi="宋体" w:eastAsia="宋体"/>
                <w:sz w:val="21"/>
              </w:rPr>
              <w:t>$n$</w:t>
            </w:r>
          </w:p>
        </w:tc>
        <w:tc>
          <w:tcPr>
            <w:tcW w:type="dxa" w:w="1814"/>
          </w:tcPr>
          <w:p>
            <w:pPr>
              <w:jc w:val="center"/>
            </w:pPr>
            <w:r/>
            <w:r>
              <w:rPr>
                <w:rFonts w:ascii="宋体" w:hAnsi="宋体" w:eastAsia="宋体"/>
                <w:sz w:val="21"/>
              </w:rPr>
              <w:t>+2排</w:t>
            </w:r>
          </w:p>
        </w:tc>
        <w:tc>
          <w:tcPr>
            <w:tcW w:type="dxa" w:w="1814"/>
          </w:tcPr>
          <w:p>
            <w:pPr>
              <w:jc w:val="center"/>
            </w:pPr>
            <w:r/>
            <w:r>
              <w:rPr>
                <w:rFonts w:ascii="宋体" w:hAnsi="宋体" w:eastAsia="宋体"/>
                <w:sz w:val="21"/>
              </w:rPr>
              <w:t>−0.86%</w:t>
            </w:r>
          </w:p>
        </w:tc>
        <w:tc>
          <w:tcPr>
            <w:tcW w:type="dxa" w:w="1814"/>
          </w:tcPr>
          <w:p>
            <w:pPr>
              <w:jc w:val="center"/>
            </w:pPr>
            <w:r/>
            <w:r>
              <w:rPr>
                <w:rFonts w:ascii="宋体" w:hAnsi="宋体" w:eastAsia="宋体"/>
                <w:sz w:val="21"/>
              </w:rPr>
              <w:t>+5.17%</w:t>
            </w:r>
          </w:p>
        </w:tc>
        <w:tc>
          <w:tcPr>
            <w:tcW w:type="dxa" w:w="1814"/>
          </w:tcPr>
          <w:p>
            <w:pPr>
              <w:jc w:val="center"/>
            </w:pPr>
            <w:r/>
            <w:r>
              <w:rPr>
                <w:rFonts w:ascii="宋体" w:hAnsi="宋体" w:eastAsia="宋体"/>
                <w:sz w:val="21"/>
              </w:rPr>
              <w:t>+2.76%</w:t>
            </w:r>
          </w:p>
        </w:tc>
      </w:tr>
      <w:tr>
        <w:tc>
          <w:tcPr>
            <w:tcW w:type="dxa" w:w="1814"/>
          </w:tcPr>
          <w:p>
            <w:pPr>
              <w:jc w:val="center"/>
            </w:pPr>
            <w:r/>
            <w:r>
              <w:rPr>
                <w:rFonts w:ascii="宋体" w:hAnsi="宋体" w:eastAsia="宋体"/>
                <w:sz w:val="21"/>
              </w:rPr>
              <w:t>$n$</w:t>
            </w:r>
          </w:p>
        </w:tc>
        <w:tc>
          <w:tcPr>
            <w:tcW w:type="dxa" w:w="1814"/>
          </w:tcPr>
          <w:p>
            <w:pPr>
              <w:jc w:val="center"/>
            </w:pPr>
            <w:r/>
            <w:r>
              <w:rPr>
                <w:rFonts w:ascii="宋体" w:hAnsi="宋体" w:eastAsia="宋体"/>
                <w:sz w:val="21"/>
              </w:rPr>
              <w:t>−2排</w:t>
            </w:r>
          </w:p>
        </w:tc>
        <w:tc>
          <w:tcPr>
            <w:tcW w:type="dxa" w:w="1814"/>
          </w:tcPr>
          <w:p>
            <w:pPr>
              <w:jc w:val="center"/>
            </w:pPr>
            <w:r/>
            <w:r>
              <w:rPr>
                <w:rFonts w:ascii="宋体" w:hAnsi="宋体" w:eastAsia="宋体"/>
                <w:sz w:val="21"/>
              </w:rPr>
              <w:t>+0.52%</w:t>
            </w:r>
          </w:p>
        </w:tc>
        <w:tc>
          <w:tcPr>
            <w:tcW w:type="dxa" w:w="1814"/>
          </w:tcPr>
          <w:p>
            <w:pPr>
              <w:jc w:val="center"/>
            </w:pPr>
            <w:r/>
            <w:r>
              <w:rPr>
                <w:rFonts w:ascii="宋体" w:hAnsi="宋体" w:eastAsia="宋体"/>
                <w:sz w:val="21"/>
              </w:rPr>
              <w:t>−2.97%</w:t>
            </w:r>
          </w:p>
        </w:tc>
        <w:tc>
          <w:tcPr>
            <w:tcW w:type="dxa" w:w="1814"/>
          </w:tcPr>
          <w:p>
            <w:pPr>
              <w:jc w:val="center"/>
            </w:pPr>
            <w:r/>
            <w:r>
              <w:rPr>
                <w:rFonts w:ascii="宋体" w:hAnsi="宋体" w:eastAsia="宋体"/>
                <w:sz w:val="21"/>
              </w:rPr>
              <w:t>−1.24%</w:t>
            </w:r>
          </w:p>
        </w:tc>
      </w:tr>
    </w:tbl>
    <w:p>
      <w:pPr>
        <w:spacing w:after="120" w:line="360" w:lineRule="auto"/>
        <w:ind w:firstLine="420"/>
      </w:pPr>
      <w:r>
        <w:rPr>
          <w:rFonts w:ascii="宋体" w:hAnsi="宋体" w:eastAsia="宋体"/>
          <w:b/>
          <w:sz w:val="24"/>
        </w:rPr>
        <w:t>表6-3 参数扰动对各指标的影响（Q4鲁棒方案）</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1814"/>
        <w:gridCol w:w="1814"/>
        <w:gridCol w:w="1814"/>
        <w:gridCol w:w="1814"/>
        <w:gridCol w:w="1814"/>
      </w:tblGrid>
      <w:tr>
        <w:tc>
          <w:tcPr>
            <w:tcW w:type="dxa" w:w="1814"/>
            <w:tcBorders>
              <w:bottom w:val="single" w:sz="6" w:color="000000"/>
            </w:tcBorders>
          </w:tcPr>
          <w:p>
            <w:pPr>
              <w:jc w:val="center"/>
            </w:pPr>
            <w:r/>
            <w:r>
              <w:rPr>
                <w:rFonts w:ascii="宋体" w:hAnsi="宋体" w:eastAsia="宋体"/>
                <w:b/>
                <w:sz w:val="21"/>
              </w:rPr>
              <w:t>扰动参数</w:t>
            </w:r>
          </w:p>
        </w:tc>
        <w:tc>
          <w:tcPr>
            <w:tcW w:type="dxa" w:w="1814"/>
            <w:tcBorders>
              <w:bottom w:val="single" w:sz="6" w:color="000000"/>
            </w:tcBorders>
          </w:tcPr>
          <w:p>
            <w:pPr>
              <w:jc w:val="center"/>
            </w:pPr>
            <w:r/>
            <w:r>
              <w:rPr>
                <w:rFonts w:ascii="宋体" w:hAnsi="宋体" w:eastAsia="宋体"/>
                <w:b/>
                <w:sz w:val="21"/>
              </w:rPr>
              <w:t>扰动幅度</w:t>
            </w:r>
          </w:p>
        </w:tc>
        <w:tc>
          <w:tcPr>
            <w:tcW w:type="dxa" w:w="1814"/>
            <w:tcBorders>
              <w:bottom w:val="single" w:sz="6" w:color="000000"/>
            </w:tcBorders>
          </w:tcPr>
          <w:p>
            <w:pPr>
              <w:jc w:val="center"/>
            </w:pPr>
            <w:r/>
            <w:r>
              <w:rPr>
                <w:rFonts w:ascii="宋体" w:hAnsi="宋体" w:eastAsia="宋体"/>
                <w:b/>
                <w:sz w:val="21"/>
              </w:rPr>
              <w:t>$R$变化</w:t>
            </w:r>
          </w:p>
        </w:tc>
        <w:tc>
          <w:tcPr>
            <w:tcW w:type="dxa" w:w="1814"/>
            <w:tcBorders>
              <w:bottom w:val="single" w:sz="6" w:color="000000"/>
            </w:tcBorders>
          </w:tcPr>
          <w:p>
            <w:pPr>
              <w:jc w:val="center"/>
            </w:pPr>
            <w:r/>
            <w:r>
              <w:rPr>
                <w:rFonts w:ascii="宋体" w:hAnsi="宋体" w:eastAsia="宋体"/>
                <w:b/>
                <w:sz w:val="21"/>
              </w:rPr>
              <w:t>$P$变化</w:t>
            </w:r>
          </w:p>
        </w:tc>
        <w:tc>
          <w:tcPr>
            <w:tcW w:type="dxa" w:w="1814"/>
            <w:tcBorders>
              <w:bottom w:val="single" w:sz="6" w:color="000000"/>
            </w:tcBorders>
          </w:tcPr>
          <w:p>
            <w:pPr>
              <w:jc w:val="center"/>
            </w:pPr>
            <w:r/>
            <w:r>
              <w:rPr>
                <w:rFonts w:ascii="宋体" w:hAnsi="宋体" w:eastAsia="宋体"/>
                <w:b/>
                <w:sz w:val="21"/>
              </w:rPr>
              <w:t>$T$变化</w:t>
            </w:r>
          </w:p>
        </w:tc>
      </w:tr>
      <w:tr>
        <w:tc>
          <w:tcPr>
            <w:tcW w:type="dxa" w:w="1814"/>
          </w:tcPr>
          <w:p>
            <w:pPr>
              <w:jc w:val="center"/>
            </w:pPr>
            <w:r/>
            <w:r>
              <w:rPr>
                <w:rFonts w:ascii="宋体" w:hAnsi="宋体" w:eastAsia="宋体"/>
                <w:sz w:val="21"/>
              </w:rPr>
              <w:t>$r$</w:t>
            </w:r>
          </w:p>
        </w:tc>
        <w:tc>
          <w:tcPr>
            <w:tcW w:type="dxa" w:w="1814"/>
          </w:tcPr>
          <w:p>
            <w:pPr>
              <w:jc w:val="center"/>
            </w:pPr>
            <w:r/>
            <w:r>
              <w:rPr>
                <w:rFonts w:ascii="宋体" w:hAnsi="宋体" w:eastAsia="宋体"/>
                <w:sz w:val="21"/>
              </w:rPr>
              <w:t>+10%</w:t>
            </w:r>
          </w:p>
        </w:tc>
        <w:tc>
          <w:tcPr>
            <w:tcW w:type="dxa" w:w="1814"/>
          </w:tcPr>
          <w:p>
            <w:pPr>
              <w:jc w:val="center"/>
            </w:pPr>
            <w:r/>
            <w:r>
              <w:rPr>
                <w:rFonts w:ascii="宋体" w:hAnsi="宋体" w:eastAsia="宋体"/>
                <w:sz w:val="21"/>
              </w:rPr>
              <w:t>−0.11%</w:t>
            </w:r>
          </w:p>
        </w:tc>
        <w:tc>
          <w:tcPr>
            <w:tcW w:type="dxa" w:w="1814"/>
          </w:tcPr>
          <w:p>
            <w:pPr>
              <w:jc w:val="center"/>
            </w:pPr>
            <w:r/>
            <w:r>
              <w:rPr>
                <w:rFonts w:ascii="宋体" w:hAnsi="宋体" w:eastAsia="宋体"/>
                <w:sz w:val="21"/>
              </w:rPr>
              <w:t>+6.14%</w:t>
            </w:r>
          </w:p>
        </w:tc>
        <w:tc>
          <w:tcPr>
            <w:tcW w:type="dxa" w:w="1814"/>
          </w:tcPr>
          <w:p>
            <w:pPr>
              <w:jc w:val="center"/>
            </w:pPr>
            <w:r/>
            <w:r>
              <w:rPr>
                <w:rFonts w:ascii="宋体" w:hAnsi="宋体" w:eastAsia="宋体"/>
                <w:sz w:val="21"/>
              </w:rPr>
              <w:t>−0.02%</w:t>
            </w:r>
          </w:p>
        </w:tc>
      </w:tr>
      <w:tr>
        <w:tc>
          <w:tcPr>
            <w:tcW w:type="dxa" w:w="1814"/>
          </w:tcPr>
          <w:p>
            <w:pPr>
              <w:jc w:val="center"/>
            </w:pPr>
            <w:r/>
            <w:r>
              <w:rPr>
                <w:rFonts w:ascii="宋体" w:hAnsi="宋体" w:eastAsia="宋体"/>
                <w:sz w:val="21"/>
              </w:rPr>
              <w:t>$r$</w:t>
            </w:r>
          </w:p>
        </w:tc>
        <w:tc>
          <w:tcPr>
            <w:tcW w:type="dxa" w:w="1814"/>
          </w:tcPr>
          <w:p>
            <w:pPr>
              <w:jc w:val="center"/>
            </w:pPr>
            <w:r/>
            <w:r>
              <w:rPr>
                <w:rFonts w:ascii="宋体" w:hAnsi="宋体" w:eastAsia="宋体"/>
                <w:sz w:val="21"/>
              </w:rPr>
              <w:t>−10%</w:t>
            </w:r>
          </w:p>
        </w:tc>
        <w:tc>
          <w:tcPr>
            <w:tcW w:type="dxa" w:w="1814"/>
          </w:tcPr>
          <w:p>
            <w:pPr>
              <w:jc w:val="center"/>
            </w:pPr>
            <w:r/>
            <w:r>
              <w:rPr>
                <w:rFonts w:ascii="宋体" w:hAnsi="宋体" w:eastAsia="宋体"/>
                <w:sz w:val="21"/>
              </w:rPr>
              <w:t>+0.14%</w:t>
            </w:r>
          </w:p>
        </w:tc>
        <w:tc>
          <w:tcPr>
            <w:tcW w:type="dxa" w:w="1814"/>
          </w:tcPr>
          <w:p>
            <w:pPr>
              <w:jc w:val="center"/>
            </w:pPr>
            <w:r/>
            <w:r>
              <w:rPr>
                <w:rFonts w:ascii="宋体" w:hAnsi="宋体" w:eastAsia="宋体"/>
                <w:sz w:val="21"/>
              </w:rPr>
              <w:t>−5.78%</w:t>
            </w:r>
          </w:p>
        </w:tc>
        <w:tc>
          <w:tcPr>
            <w:tcW w:type="dxa" w:w="1814"/>
          </w:tcPr>
          <w:p>
            <w:pPr>
              <w:jc w:val="center"/>
            </w:pPr>
            <w:r/>
            <w:r>
              <w:rPr>
                <w:rFonts w:ascii="宋体" w:hAnsi="宋体" w:eastAsia="宋体"/>
                <w:sz w:val="21"/>
              </w:rPr>
              <w:t>+0.05%</w:t>
            </w:r>
          </w:p>
        </w:tc>
      </w:tr>
      <w:tr>
        <w:tc>
          <w:tcPr>
            <w:tcW w:type="dxa" w:w="1814"/>
          </w:tcPr>
          <w:p>
            <w:pPr>
              <w:jc w:val="center"/>
            </w:pPr>
            <w:r/>
            <w:r>
              <w:rPr>
                <w:rFonts w:ascii="宋体" w:hAnsi="宋体" w:eastAsia="宋体"/>
                <w:sz w:val="21"/>
              </w:rPr>
              <w:t>$h$</w:t>
            </w:r>
          </w:p>
        </w:tc>
        <w:tc>
          <w:tcPr>
            <w:tcW w:type="dxa" w:w="1814"/>
          </w:tcPr>
          <w:p>
            <w:pPr>
              <w:jc w:val="center"/>
            </w:pPr>
            <w:r/>
            <w:r>
              <w:rPr>
                <w:rFonts w:ascii="宋体" w:hAnsi="宋体" w:eastAsia="宋体"/>
                <w:sz w:val="21"/>
              </w:rPr>
              <w:t>−10%</w:t>
            </w:r>
          </w:p>
        </w:tc>
        <w:tc>
          <w:tcPr>
            <w:tcW w:type="dxa" w:w="1814"/>
          </w:tcPr>
          <w:p>
            <w:pPr>
              <w:jc w:val="center"/>
            </w:pPr>
            <w:r/>
            <w:r>
              <w:rPr>
                <w:rFonts w:ascii="宋体" w:hAnsi="宋体" w:eastAsia="宋体"/>
                <w:sz w:val="21"/>
              </w:rPr>
              <w:t>+0.41%</w:t>
            </w:r>
          </w:p>
        </w:tc>
        <w:tc>
          <w:tcPr>
            <w:tcW w:type="dxa" w:w="1814"/>
          </w:tcPr>
          <w:p>
            <w:pPr>
              <w:jc w:val="center"/>
            </w:pPr>
            <w:r/>
            <w:r>
              <w:rPr>
                <w:rFonts w:ascii="宋体" w:hAnsi="宋体" w:eastAsia="宋体"/>
                <w:sz w:val="21"/>
              </w:rPr>
              <w:t>−7.44%</w:t>
            </w:r>
          </w:p>
        </w:tc>
        <w:tc>
          <w:tcPr>
            <w:tcW w:type="dxa" w:w="1814"/>
          </w:tcPr>
          <w:p>
            <w:pPr>
              <w:jc w:val="center"/>
            </w:pPr>
            <w:r/>
            <w:r>
              <w:rPr>
                <w:rFonts w:ascii="宋体" w:hAnsi="宋体" w:eastAsia="宋体"/>
                <w:sz w:val="21"/>
              </w:rPr>
              <w:t>+0.28%</w:t>
            </w:r>
          </w:p>
        </w:tc>
      </w:tr>
      <w:tr>
        <w:tc>
          <w:tcPr>
            <w:tcW w:type="dxa" w:w="1814"/>
          </w:tcPr>
          <w:p>
            <w:pPr>
              <w:jc w:val="center"/>
            </w:pPr>
            <w:r/>
            <w:r>
              <w:rPr>
                <w:rFonts w:ascii="宋体" w:hAnsi="宋体" w:eastAsia="宋体"/>
                <w:sz w:val="21"/>
              </w:rPr>
              <w:t>$n$</w:t>
            </w:r>
          </w:p>
        </w:tc>
        <w:tc>
          <w:tcPr>
            <w:tcW w:type="dxa" w:w="1814"/>
          </w:tcPr>
          <w:p>
            <w:pPr>
              <w:jc w:val="center"/>
            </w:pPr>
            <w:r/>
            <w:r>
              <w:rPr>
                <w:rFonts w:ascii="宋体" w:hAnsi="宋体" w:eastAsia="宋体"/>
                <w:sz w:val="21"/>
              </w:rPr>
              <w:t>+2排</w:t>
            </w:r>
          </w:p>
        </w:tc>
        <w:tc>
          <w:tcPr>
            <w:tcW w:type="dxa" w:w="1814"/>
          </w:tcPr>
          <w:p>
            <w:pPr>
              <w:jc w:val="center"/>
            </w:pPr>
            <w:r/>
            <w:r>
              <w:rPr>
                <w:rFonts w:ascii="宋体" w:hAnsi="宋体" w:eastAsia="宋体"/>
                <w:sz w:val="21"/>
              </w:rPr>
              <w:t>−0.82%</w:t>
            </w:r>
          </w:p>
        </w:tc>
        <w:tc>
          <w:tcPr>
            <w:tcW w:type="dxa" w:w="1814"/>
          </w:tcPr>
          <w:p>
            <w:pPr>
              <w:jc w:val="center"/>
            </w:pPr>
            <w:r/>
            <w:r>
              <w:rPr>
                <w:rFonts w:ascii="宋体" w:hAnsi="宋体" w:eastAsia="宋体"/>
                <w:sz w:val="21"/>
              </w:rPr>
              <w:t>+6.93%</w:t>
            </w:r>
          </w:p>
        </w:tc>
        <w:tc>
          <w:tcPr>
            <w:tcW w:type="dxa" w:w="1814"/>
          </w:tcPr>
          <w:p>
            <w:pPr>
              <w:jc w:val="center"/>
            </w:pPr>
            <w:r/>
            <w:r>
              <w:rPr>
                <w:rFonts w:ascii="宋体" w:hAnsi="宋体" w:eastAsia="宋体"/>
                <w:sz w:val="21"/>
              </w:rPr>
              <w:t>+2.66%</w:t>
            </w:r>
          </w:p>
        </w:tc>
      </w:tr>
    </w:tbl>
    <w:p>
      <w:pPr>
        <w:spacing w:after="120" w:line="360" w:lineRule="auto"/>
        <w:ind w:firstLine="420"/>
      </w:pPr>
      <w:r>
        <w:rPr>
          <w:rFonts w:ascii="宋体" w:hAnsi="宋体" w:eastAsia="宋体"/>
          <w:b w:val="0"/>
          <w:sz w:val="24"/>
        </w:rPr>
        <w:t>由表可见，$P$对$h$的负扰动最为敏感（−10%$h$变化导致$P$变化约−7.0%），$R$和$T$对各参数的扰动响应均小于3%，整体稳定。$h$正向扰动时受可行域上界4.5截断，变化为0%，这是最优$h^*=4.5$贴边界的直接后果。Q4方案因$r$偏大（0.2364 vs 0.2148），$P$对$r$和$n$的灵敏度较Q3方案略高（6.1% vs 4.2%），与问题五MC分析结论一致。</w:t>
      </w:r>
    </w:p>
    <w:p>
      <w:pPr>
        <w:spacing w:after="120" w:line="360" w:lineRule="auto"/>
        <w:ind w:firstLine="420"/>
      </w:pPr>
      <w:r>
        <w:rPr>
          <w:rFonts w:ascii="宋体" w:hAnsi="宋体" w:eastAsia="宋体"/>
          <w:b w:val="0"/>
          <w:sz w:val="24"/>
        </w:rPr>
        <w:t>三视角（局部弹性、有限扰动、Sobol全局灵敏度）独立性排序结果互补：局部弹性视角下$h$最强（设计点处$P$弹性为−0.82），MC全局视角下$n$主导（±1排离散扰动约17%的相对变化远大于$r$和$h$的±1~3%），Sobol全局灵敏度从整个设计空间视角给出$T$由$n$主导（$S_1=0.562$）、$P$由$h$和$r$共同主导、$R$三参数均衡的排序。三种方法从不同尺度相互印证，增加了灵敏度结论的可靠性。</w:t>
      </w:r>
    </w:p>
    <w:p>
      <w:pPr>
        <w:spacing w:before="160" w:after="120"/>
      </w:pPr>
      <w:r>
        <w:rPr>
          <w:rFonts w:ascii="黑体" w:hAnsi="黑体" w:eastAsia="黑体"/>
          <w:b/>
          <w:sz w:val="28"/>
        </w:rPr>
        <w:t>稳健性检验</w:t>
      </w:r>
    </w:p>
    <w:p>
      <w:pPr>
        <w:spacing w:before="160" w:after="120"/>
      </w:pPr>
      <w:r>
        <w:rPr>
          <w:rFonts w:ascii="黑体" w:hAnsi="黑体" w:eastAsia="黑体"/>
          <w:b/>
          <w:sz w:val="24"/>
        </w:rPr>
        <w:t>双源不确定度蒙特卡洛验证</w:t>
      </w:r>
    </w:p>
    <w:p>
      <w:pPr>
        <w:spacing w:after="120" w:line="360" w:lineRule="auto"/>
        <w:ind w:firstLine="420"/>
      </w:pPr>
      <w:r>
        <w:rPr>
          <w:rFonts w:ascii="宋体" w:hAnsi="宋体" w:eastAsia="宋体"/>
          <w:b w:val="0"/>
          <w:sz w:val="24"/>
        </w:rPr>
        <w:t>问题五对Q3与Q4两方案分别进行$N=20000$次蒙特卡洛采样，同时传播加工误差（$r$截断正态$\pm3\%$、$h$截断正态$\pm1.7\%$、$n$离散扰动$\pm1$排）、GPR模型认知不确定度（预测方差$\sigma^2(x)$）与工况波动（$\pm1.5\%$乘性噪声），三源合计的变异系数与失效概率如表6-4所示。</w:t>
      </w:r>
    </w:p>
    <w:p>
      <w:pPr>
        <w:spacing w:after="120" w:line="360" w:lineRule="auto"/>
        <w:ind w:firstLine="420"/>
      </w:pPr>
      <w:r>
        <w:rPr>
          <w:rFonts w:ascii="宋体" w:hAnsi="宋体" w:eastAsia="宋体"/>
          <w:b/>
          <w:sz w:val="24"/>
        </w:rPr>
        <w:t>表6-4 双源不确定度传播下的稳健性指标</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1134"/>
        <w:gridCol w:w="1134"/>
        <w:gridCol w:w="1134"/>
        <w:gridCol w:w="1134"/>
        <w:gridCol w:w="1134"/>
        <w:gridCol w:w="1134"/>
        <w:gridCol w:w="1134"/>
        <w:gridCol w:w="1134"/>
      </w:tblGrid>
      <w:tr>
        <w:tc>
          <w:tcPr>
            <w:tcW w:type="dxa" w:w="1134"/>
            <w:tcBorders>
              <w:bottom w:val="single" w:sz="6" w:color="000000"/>
            </w:tcBorders>
          </w:tcPr>
          <w:p>
            <w:pPr>
              <w:jc w:val="center"/>
            </w:pPr>
            <w:r/>
            <w:r>
              <w:rPr>
                <w:rFonts w:ascii="宋体" w:hAnsi="宋体" w:eastAsia="宋体"/>
                <w:b/>
                <w:sz w:val="21"/>
              </w:rPr>
              <w:t>方案</w:t>
            </w:r>
          </w:p>
        </w:tc>
        <w:tc>
          <w:tcPr>
            <w:tcW w:type="dxa" w:w="1134"/>
            <w:tcBorders>
              <w:bottom w:val="single" w:sz="6" w:color="000000"/>
            </w:tcBorders>
          </w:tcPr>
          <w:p>
            <w:pPr>
              <w:jc w:val="center"/>
            </w:pPr>
            <w:r/>
            <w:r>
              <w:rPr>
                <w:rFonts w:ascii="宋体" w:hAnsi="宋体" w:eastAsia="宋体"/>
                <w:b/>
                <w:sz w:val="21"/>
              </w:rPr>
              <w:t>$R$-CV</w:t>
            </w:r>
          </w:p>
        </w:tc>
        <w:tc>
          <w:tcPr>
            <w:tcW w:type="dxa" w:w="1134"/>
            <w:tcBorders>
              <w:bottom w:val="single" w:sz="6" w:color="000000"/>
            </w:tcBorders>
          </w:tcPr>
          <w:p>
            <w:pPr>
              <w:jc w:val="center"/>
            </w:pPr>
            <w:r/>
            <w:r>
              <w:rPr>
                <w:rFonts w:ascii="宋体" w:hAnsi="宋体" w:eastAsia="宋体"/>
                <w:b/>
                <w:sz w:val="21"/>
              </w:rPr>
              <w:t>$P$-CV</w:t>
            </w:r>
          </w:p>
        </w:tc>
        <w:tc>
          <w:tcPr>
            <w:tcW w:type="dxa" w:w="1134"/>
            <w:tcBorders>
              <w:bottom w:val="single" w:sz="6" w:color="000000"/>
            </w:tcBorders>
          </w:tcPr>
          <w:p>
            <w:pPr>
              <w:jc w:val="center"/>
            </w:pPr>
            <w:r/>
            <w:r>
              <w:rPr>
                <w:rFonts w:ascii="宋体" w:hAnsi="宋体" w:eastAsia="宋体"/>
                <w:b/>
                <w:sz w:val="21"/>
              </w:rPr>
              <w:t>$T$-CV</w:t>
            </w:r>
          </w:p>
        </w:tc>
        <w:tc>
          <w:tcPr>
            <w:tcW w:type="dxa" w:w="1134"/>
            <w:tcBorders>
              <w:bottom w:val="single" w:sz="6" w:color="000000"/>
            </w:tcBorders>
          </w:tcPr>
          <w:p>
            <w:pPr>
              <w:jc w:val="center"/>
            </w:pPr>
            <w:r/>
            <w:r>
              <w:rPr>
                <w:rFonts w:ascii="宋体" w:hAnsi="宋体" w:eastAsia="宋体"/>
                <w:b/>
                <w:sz w:val="21"/>
              </w:rPr>
              <w:t>$R$-$p_{fail}$</w:t>
            </w:r>
          </w:p>
        </w:tc>
        <w:tc>
          <w:tcPr>
            <w:tcW w:type="dxa" w:w="1134"/>
            <w:tcBorders>
              <w:bottom w:val="single" w:sz="6" w:color="000000"/>
            </w:tcBorders>
          </w:tcPr>
          <w:p>
            <w:pPr>
              <w:jc w:val="center"/>
            </w:pPr>
            <w:r/>
            <w:r>
              <w:rPr>
                <w:rFonts w:ascii="宋体" w:hAnsi="宋体" w:eastAsia="宋体"/>
                <w:b/>
                <w:sz w:val="21"/>
              </w:rPr>
              <w:t>$P$-$p_{fail}$</w:t>
            </w:r>
          </w:p>
        </w:tc>
        <w:tc>
          <w:tcPr>
            <w:tcW w:type="dxa" w:w="1134"/>
            <w:tcBorders>
              <w:bottom w:val="single" w:sz="6" w:color="000000"/>
            </w:tcBorders>
          </w:tcPr>
          <w:p>
            <w:pPr>
              <w:jc w:val="center"/>
            </w:pPr>
            <w:r/>
            <w:r>
              <w:rPr>
                <w:rFonts w:ascii="宋体" w:hAnsi="宋体" w:eastAsia="宋体"/>
                <w:b/>
                <w:sz w:val="21"/>
              </w:rPr>
              <w:t>$T$-$p_{fail}$</w:t>
            </w:r>
          </w:p>
        </w:tc>
        <w:tc>
          <w:tcPr>
            <w:tcW w:type="dxa" w:w="1134"/>
            <w:tcBorders>
              <w:bottom w:val="single" w:sz="6" w:color="000000"/>
            </w:tcBorders>
          </w:tcPr>
          <w:p>
            <w:pPr>
              <w:jc w:val="center"/>
            </w:pPr>
            <w:r/>
            <w:r>
              <w:rPr>
                <w:rFonts w:ascii="宋体" w:hAnsi="宋体" w:eastAsia="宋体"/>
                <w:b/>
                <w:sz w:val="21"/>
              </w:rPr>
              <w:t>综合判定</w:t>
            </w:r>
          </w:p>
        </w:tc>
      </w:tr>
      <w:tr>
        <w:tc>
          <w:tcPr>
            <w:tcW w:type="dxa" w:w="1134"/>
          </w:tcPr>
          <w:p>
            <w:pPr>
              <w:jc w:val="center"/>
            </w:pPr>
            <w:r/>
            <w:r>
              <w:rPr>
                <w:rFonts w:ascii="宋体" w:hAnsi="宋体" w:eastAsia="宋体"/>
                <w:sz w:val="21"/>
              </w:rPr>
              <w:t>Q3综合最优</w:t>
            </w:r>
          </w:p>
        </w:tc>
        <w:tc>
          <w:tcPr>
            <w:tcW w:type="dxa" w:w="1134"/>
          </w:tcPr>
          <w:p>
            <w:pPr>
              <w:jc w:val="center"/>
            </w:pPr>
            <w:r/>
            <w:r>
              <w:rPr>
                <w:rFonts w:ascii="宋体" w:hAnsi="宋体" w:eastAsia="宋体"/>
                <w:sz w:val="21"/>
              </w:rPr>
              <w:t>1.56%</w:t>
            </w:r>
          </w:p>
        </w:tc>
        <w:tc>
          <w:tcPr>
            <w:tcW w:type="dxa" w:w="1134"/>
          </w:tcPr>
          <w:p>
            <w:pPr>
              <w:jc w:val="center"/>
            </w:pPr>
            <w:r/>
            <w:r>
              <w:rPr>
                <w:rFonts w:ascii="宋体" w:hAnsi="宋体" w:eastAsia="宋体"/>
                <w:sz w:val="21"/>
              </w:rPr>
              <w:t>6.04%</w:t>
            </w:r>
          </w:p>
        </w:tc>
        <w:tc>
          <w:tcPr>
            <w:tcW w:type="dxa" w:w="1134"/>
          </w:tcPr>
          <w:p>
            <w:pPr>
              <w:jc w:val="center"/>
            </w:pPr>
            <w:r/>
            <w:r>
              <w:rPr>
                <w:rFonts w:ascii="宋体" w:hAnsi="宋体" w:eastAsia="宋体"/>
                <w:sz w:val="21"/>
              </w:rPr>
              <w:t>1.80%</w:t>
            </w:r>
          </w:p>
        </w:tc>
        <w:tc>
          <w:tcPr>
            <w:tcW w:type="dxa" w:w="1134"/>
          </w:tcPr>
          <w:p>
            <w:pPr>
              <w:jc w:val="center"/>
            </w:pPr>
            <w:r/>
            <w:r>
              <w:rPr>
                <w:rFonts w:ascii="宋体" w:hAnsi="宋体" w:eastAsia="宋体"/>
                <w:sz w:val="21"/>
              </w:rPr>
              <w:t>0.22%</w:t>
            </w:r>
          </w:p>
        </w:tc>
        <w:tc>
          <w:tcPr>
            <w:tcW w:type="dxa" w:w="1134"/>
          </w:tcPr>
          <w:p>
            <w:pPr>
              <w:jc w:val="center"/>
            </w:pPr>
            <w:r/>
            <w:r>
              <w:rPr>
                <w:rFonts w:ascii="宋体" w:hAnsi="宋体" w:eastAsia="宋体"/>
                <w:sz w:val="21"/>
              </w:rPr>
              <w:t>7.02%</w:t>
            </w:r>
          </w:p>
        </w:tc>
        <w:tc>
          <w:tcPr>
            <w:tcW w:type="dxa" w:w="1134"/>
          </w:tcPr>
          <w:p>
            <w:pPr>
              <w:jc w:val="center"/>
            </w:pPr>
            <w:r/>
            <w:r>
              <w:rPr>
                <w:rFonts w:ascii="宋体" w:hAnsi="宋体" w:eastAsia="宋体"/>
                <w:sz w:val="21"/>
              </w:rPr>
              <w:t>0.08%</w:t>
            </w:r>
          </w:p>
        </w:tc>
        <w:tc>
          <w:tcPr>
            <w:tcW w:type="dxa" w:w="1134"/>
          </w:tcPr>
          <w:p>
            <w:pPr>
              <w:jc w:val="center"/>
            </w:pPr>
            <w:r/>
            <w:r>
              <w:rPr>
                <w:rFonts w:ascii="宋体" w:hAnsi="宋体" w:eastAsia="宋体"/>
                <w:sz w:val="21"/>
              </w:rPr>
              <w:t>$R/T$高度稳定，$P$基本稳定</w:t>
            </w:r>
          </w:p>
        </w:tc>
      </w:tr>
      <w:tr>
        <w:tc>
          <w:tcPr>
            <w:tcW w:type="dxa" w:w="1134"/>
          </w:tcPr>
          <w:p>
            <w:pPr>
              <w:jc w:val="center"/>
            </w:pPr>
            <w:r/>
            <w:r>
              <w:rPr>
                <w:rFonts w:ascii="宋体" w:hAnsi="宋体" w:eastAsia="宋体"/>
                <w:sz w:val="21"/>
              </w:rPr>
              <w:t>Q4鲁棒方案</w:t>
            </w:r>
          </w:p>
        </w:tc>
        <w:tc>
          <w:tcPr>
            <w:tcW w:type="dxa" w:w="1134"/>
          </w:tcPr>
          <w:p>
            <w:pPr>
              <w:jc w:val="center"/>
            </w:pPr>
            <w:r/>
            <w:r>
              <w:rPr>
                <w:rFonts w:ascii="宋体" w:hAnsi="宋体" w:eastAsia="宋体"/>
                <w:sz w:val="21"/>
              </w:rPr>
              <w:t>1.56%</w:t>
            </w:r>
          </w:p>
        </w:tc>
        <w:tc>
          <w:tcPr>
            <w:tcW w:type="dxa" w:w="1134"/>
          </w:tcPr>
          <w:p>
            <w:pPr>
              <w:jc w:val="center"/>
            </w:pPr>
            <w:r/>
            <w:r>
              <w:rPr>
                <w:rFonts w:ascii="宋体" w:hAnsi="宋体" w:eastAsia="宋体"/>
                <w:sz w:val="21"/>
              </w:rPr>
              <w:t>7.03%</w:t>
            </w:r>
          </w:p>
        </w:tc>
        <w:tc>
          <w:tcPr>
            <w:tcW w:type="dxa" w:w="1134"/>
          </w:tcPr>
          <w:p>
            <w:pPr>
              <w:jc w:val="center"/>
            </w:pPr>
            <w:r/>
            <w:r>
              <w:rPr>
                <w:rFonts w:ascii="宋体" w:hAnsi="宋体" w:eastAsia="宋体"/>
                <w:sz w:val="21"/>
              </w:rPr>
              <w:t>1.84%</w:t>
            </w:r>
          </w:p>
        </w:tc>
        <w:tc>
          <w:tcPr>
            <w:tcW w:type="dxa" w:w="1134"/>
          </w:tcPr>
          <w:p>
            <w:pPr>
              <w:jc w:val="center"/>
            </w:pPr>
            <w:r/>
            <w:r>
              <w:rPr>
                <w:rFonts w:ascii="宋体" w:hAnsi="宋体" w:eastAsia="宋体"/>
                <w:sz w:val="21"/>
              </w:rPr>
              <w:t>0.22%</w:t>
            </w:r>
          </w:p>
        </w:tc>
        <w:tc>
          <w:tcPr>
            <w:tcW w:type="dxa" w:w="1134"/>
          </w:tcPr>
          <w:p>
            <w:pPr>
              <w:jc w:val="center"/>
            </w:pPr>
            <w:r/>
            <w:r>
              <w:rPr>
                <w:rFonts w:ascii="宋体" w:hAnsi="宋体" w:eastAsia="宋体"/>
                <w:sz w:val="21"/>
              </w:rPr>
              <w:t>9.57%</w:t>
            </w:r>
          </w:p>
        </w:tc>
        <w:tc>
          <w:tcPr>
            <w:tcW w:type="dxa" w:w="1134"/>
          </w:tcPr>
          <w:p>
            <w:pPr>
              <w:jc w:val="center"/>
            </w:pPr>
            <w:r/>
            <w:r>
              <w:rPr>
                <w:rFonts w:ascii="宋体" w:hAnsi="宋体" w:eastAsia="宋体"/>
                <w:sz w:val="21"/>
              </w:rPr>
              <w:t>0.08%</w:t>
            </w:r>
          </w:p>
        </w:tc>
        <w:tc>
          <w:tcPr>
            <w:tcW w:type="dxa" w:w="1134"/>
          </w:tcPr>
          <w:p>
            <w:pPr>
              <w:jc w:val="center"/>
            </w:pPr>
            <w:r/>
            <w:r>
              <w:rPr>
                <w:rFonts w:ascii="宋体" w:hAnsi="宋体" w:eastAsia="宋体"/>
                <w:sz w:val="21"/>
              </w:rPr>
              <w:t>$R/T$高度稳定，$P$基本稳定</w:t>
            </w:r>
          </w:p>
        </w:tc>
      </w:tr>
    </w:tbl>
    <w:p>
      <w:pPr>
        <w:spacing w:after="120" w:line="360" w:lineRule="auto"/>
        <w:ind w:firstLine="420"/>
      </w:pPr>
      <w:r>
        <w:rPr>
          <w:rFonts w:ascii="宋体" w:hAnsi="宋体" w:eastAsia="宋体"/>
          <w:b w:val="0"/>
          <w:sz w:val="24"/>
        </w:rPr>
        <w:t>$p_{fail}$定义为指标超过名义值$+5\%$的概率。$R$和$T$的CV均小于2%、失效概率低于1%，属高度稳定；$P$的CV为6~7%、失效概率为7~10%，属基本稳定。Q4方案$P$的稳健性略逊于Q3方案，原因在于Q4的$r$更大（0.2364 vs 0.2148），$r$-$P$弹性更强，加工偏差对$P$的放大效应更显著。方差来源分解表明：$R$和$T$的方差以工况波动为主（92%与69%），$P$的方差以加工误差为主（93%），GPR认知不确定度贡献极小（&lt;1%），说明代理模型在最优方案附近精度充分。</w:t>
      </w:r>
    </w:p>
    <w:p>
      <w:pPr>
        <w:spacing w:before="160" w:after="120"/>
      </w:pPr>
      <w:r>
        <w:rPr>
          <w:rFonts w:ascii="黑体" w:hAnsi="黑体" w:eastAsia="黑体"/>
          <w:b/>
          <w:sz w:val="24"/>
        </w:rPr>
        <w:t>代理模型替换验证</w:t>
      </w:r>
    </w:p>
    <w:p>
      <w:pPr>
        <w:spacing w:after="120" w:line="360" w:lineRule="auto"/>
        <w:ind w:firstLine="420"/>
      </w:pPr>
      <w:r>
        <w:rPr>
          <w:rFonts w:ascii="宋体" w:hAnsi="宋体" w:eastAsia="宋体"/>
          <w:b w:val="0"/>
          <w:sz w:val="24"/>
        </w:rPr>
        <w:t>以多项式回归（Ridge正则化三次多项式，19项）与随机森林（300棵树）分别替代GPR作为Q3优化的目标函数，重复NSGA-II求解。多项式代理下前沿形状与GPR总体一致（多项式$R^2\approx1.0$，在训练域内近乎插值），但无法输出$\sigma^2(x)$，使Q5双源传播中的认知不确定度源缺失；随机森林代理下前沿边界明显粗糙（$R^2$仅0.65~0.82），且最优方案在各次运行间存在不可忽略的离散跳跃。GPR是唯一同时满足"优化级精度"与"不确定度量化"需求的代理方案。</w:t>
      </w:r>
    </w:p>
    <w:p>
      <w:pPr>
        <w:spacing w:before="160" w:after="120"/>
      </w:pPr>
      <w:r>
        <w:rPr>
          <w:rFonts w:ascii="黑体" w:hAnsi="黑体" w:eastAsia="黑体"/>
          <w:b/>
          <w:sz w:val="24"/>
        </w:rPr>
        <w:t>噪声注入鲁棒性测试</w:t>
      </w:r>
    </w:p>
    <w:p>
      <w:pPr>
        <w:spacing w:after="120" w:line="360" w:lineRule="auto"/>
        <w:ind w:firstLine="420"/>
      </w:pPr>
      <w:r>
        <w:rPr>
          <w:rFonts w:ascii="宋体" w:hAnsi="宋体" w:eastAsia="宋体"/>
          <w:b w:val="0"/>
          <w:sz w:val="24"/>
        </w:rPr>
        <w:t>对Q3与Q4名义方案施加$\pm2\%$随机噪声（$N=5000$次），用GPR代理重算三指标。两方案$R$的CV仅0.07~0.08%、$P$的CV为0.74~0.91%、$T$的CV为0.06~0.08%，均远小于5%的稳定性阈值。$P$的CV虽为三指标中最大，但绝对值仍很小，表明设计方案对随机输入噪声具有良好的鲁棒性。</w:t>
      </w:r>
    </w:p>
    <w:p>
      <w:pPr>
        <w:spacing w:before="160" w:after="120"/>
      </w:pPr>
      <w:r>
        <w:rPr>
          <w:rFonts w:ascii="黑体" w:hAnsi="黑体" w:eastAsia="黑体"/>
          <w:b/>
          <w:sz w:val="24"/>
        </w:rPr>
        <w:t>边界设计验证</w:t>
      </w:r>
    </w:p>
    <w:p>
      <w:pPr>
        <w:spacing w:after="120" w:line="360" w:lineRule="auto"/>
        <w:ind w:firstLine="420"/>
      </w:pPr>
      <w:r>
        <w:rPr>
          <w:rFonts w:ascii="宋体" w:hAnsi="宋体" w:eastAsia="宋体"/>
          <w:b w:val="0"/>
          <w:sz w:val="24"/>
        </w:rPr>
        <w:t>取$r=0$（无针肋基线）、$r=0.3$（针肋最大）、$n=10$（排数最大）三种极端设计，与Q3综合最优方案对比如表6-5所示。</w:t>
      </w:r>
    </w:p>
    <w:p>
      <w:pPr>
        <w:spacing w:after="120" w:line="360" w:lineRule="auto"/>
        <w:ind w:firstLine="420"/>
      </w:pPr>
      <w:r>
        <w:rPr>
          <w:rFonts w:ascii="宋体" w:hAnsi="宋体" w:eastAsia="宋体"/>
          <w:b/>
          <w:sz w:val="24"/>
        </w:rPr>
        <w:t>表6-5 极端设计与最优方案性能对比</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1814"/>
        <w:gridCol w:w="1814"/>
        <w:gridCol w:w="1814"/>
        <w:gridCol w:w="1814"/>
        <w:gridCol w:w="1814"/>
      </w:tblGrid>
      <w:tr>
        <w:tc>
          <w:tcPr>
            <w:tcW w:type="dxa" w:w="1814"/>
            <w:tcBorders>
              <w:bottom w:val="single" w:sz="6" w:color="000000"/>
            </w:tcBorders>
          </w:tcPr>
          <w:p>
            <w:pPr>
              <w:jc w:val="center"/>
            </w:pPr>
            <w:r/>
            <w:r>
              <w:rPr>
                <w:rFonts w:ascii="宋体" w:hAnsi="宋体" w:eastAsia="宋体"/>
                <w:b/>
                <w:sz w:val="21"/>
              </w:rPr>
              <w:t>设计点</w:t>
            </w:r>
          </w:p>
        </w:tc>
        <w:tc>
          <w:tcPr>
            <w:tcW w:type="dxa" w:w="1814"/>
            <w:tcBorders>
              <w:bottom w:val="single" w:sz="6" w:color="000000"/>
            </w:tcBorders>
          </w:tcPr>
          <w:p>
            <w:pPr>
              <w:jc w:val="center"/>
            </w:pPr>
            <w:r/>
            <w:r>
              <w:rPr>
                <w:rFonts w:ascii="宋体" w:hAnsi="宋体" w:eastAsia="宋体"/>
                <w:b/>
                <w:sz w:val="21"/>
              </w:rPr>
              <w:t>$R$</w:t>
            </w:r>
          </w:p>
        </w:tc>
        <w:tc>
          <w:tcPr>
            <w:tcW w:type="dxa" w:w="1814"/>
            <w:tcBorders>
              <w:bottom w:val="single" w:sz="6" w:color="000000"/>
            </w:tcBorders>
          </w:tcPr>
          <w:p>
            <w:pPr>
              <w:jc w:val="center"/>
            </w:pPr>
            <w:r/>
            <w:r>
              <w:rPr>
                <w:rFonts w:ascii="宋体" w:hAnsi="宋体" w:eastAsia="宋体"/>
                <w:b/>
                <w:sz w:val="21"/>
              </w:rPr>
              <w:t>$P$</w:t>
            </w:r>
          </w:p>
        </w:tc>
        <w:tc>
          <w:tcPr>
            <w:tcW w:type="dxa" w:w="1814"/>
            <w:tcBorders>
              <w:bottom w:val="single" w:sz="6" w:color="000000"/>
            </w:tcBorders>
          </w:tcPr>
          <w:p>
            <w:pPr>
              <w:jc w:val="center"/>
            </w:pPr>
            <w:r/>
            <w:r>
              <w:rPr>
                <w:rFonts w:ascii="宋体" w:hAnsi="宋体" w:eastAsia="宋体"/>
                <w:b/>
                <w:sz w:val="21"/>
              </w:rPr>
              <w:t>$T$</w:t>
            </w:r>
          </w:p>
        </w:tc>
        <w:tc>
          <w:tcPr>
            <w:tcW w:type="dxa" w:w="1814"/>
            <w:tcBorders>
              <w:bottom w:val="single" w:sz="6" w:color="000000"/>
            </w:tcBorders>
          </w:tcPr>
          <w:p>
            <w:pPr>
              <w:jc w:val="center"/>
            </w:pPr>
            <w:r/>
            <w:r>
              <w:rPr>
                <w:rFonts w:ascii="宋体" w:hAnsi="宋体" w:eastAsia="宋体"/>
                <w:b/>
                <w:sz w:val="21"/>
              </w:rPr>
              <w:t>特征</w:t>
            </w:r>
          </w:p>
        </w:tc>
      </w:tr>
      <w:tr>
        <w:tc>
          <w:tcPr>
            <w:tcW w:type="dxa" w:w="1814"/>
          </w:tcPr>
          <w:p>
            <w:pPr>
              <w:jc w:val="center"/>
            </w:pPr>
            <w:r/>
            <w:r>
              <w:rPr>
                <w:rFonts w:ascii="宋体" w:hAnsi="宋体" w:eastAsia="宋体"/>
                <w:sz w:val="21"/>
              </w:rPr>
              <w:t>Q3综合最优 (0.215,4.5,6)</w:t>
            </w:r>
          </w:p>
        </w:tc>
        <w:tc>
          <w:tcPr>
            <w:tcW w:type="dxa" w:w="1814"/>
          </w:tcPr>
          <w:p>
            <w:pPr>
              <w:jc w:val="center"/>
            </w:pPr>
            <w:r/>
            <w:r>
              <w:rPr>
                <w:rFonts w:ascii="宋体" w:hAnsi="宋体" w:eastAsia="宋体"/>
                <w:sz w:val="21"/>
              </w:rPr>
              <w:t>0.7351</w:t>
            </w:r>
          </w:p>
        </w:tc>
        <w:tc>
          <w:tcPr>
            <w:tcW w:type="dxa" w:w="1814"/>
          </w:tcPr>
          <w:p>
            <w:pPr>
              <w:jc w:val="center"/>
            </w:pPr>
            <w:r/>
            <w:r>
              <w:rPr>
                <w:rFonts w:ascii="宋体" w:hAnsi="宋体" w:eastAsia="宋体"/>
                <w:sz w:val="21"/>
              </w:rPr>
              <w:t>0.0961</w:t>
            </w:r>
          </w:p>
        </w:tc>
        <w:tc>
          <w:tcPr>
            <w:tcW w:type="dxa" w:w="1814"/>
          </w:tcPr>
          <w:p>
            <w:pPr>
              <w:jc w:val="center"/>
            </w:pPr>
            <w:r/>
            <w:r>
              <w:rPr>
                <w:rFonts w:ascii="宋体" w:hAnsi="宋体" w:eastAsia="宋体"/>
                <w:sz w:val="21"/>
              </w:rPr>
              <w:t>0.7908</w:t>
            </w:r>
          </w:p>
        </w:tc>
        <w:tc>
          <w:tcPr>
            <w:tcW w:type="dxa" w:w="1814"/>
          </w:tcPr>
          <w:p>
            <w:pPr>
              <w:jc w:val="center"/>
            </w:pPr>
            <w:r/>
            <w:r>
              <w:rPr>
                <w:rFonts w:ascii="宋体" w:hAnsi="宋体" w:eastAsia="宋体"/>
                <w:sz w:val="21"/>
              </w:rPr>
              <w:t>基准</w:t>
            </w:r>
          </w:p>
        </w:tc>
      </w:tr>
      <w:tr>
        <w:tc>
          <w:tcPr>
            <w:tcW w:type="dxa" w:w="1814"/>
          </w:tcPr>
          <w:p>
            <w:pPr>
              <w:jc w:val="center"/>
            </w:pPr>
            <w:r/>
            <w:r>
              <w:rPr>
                <w:rFonts w:ascii="宋体" w:hAnsi="宋体" w:eastAsia="宋体"/>
                <w:sz w:val="21"/>
              </w:rPr>
              <w:t>$r=0$基线 (0,4.5,0)</w:t>
            </w:r>
          </w:p>
        </w:tc>
        <w:tc>
          <w:tcPr>
            <w:tcW w:type="dxa" w:w="1814"/>
          </w:tcPr>
          <w:p>
            <w:pPr>
              <w:jc w:val="center"/>
            </w:pPr>
            <w:r/>
            <w:r>
              <w:rPr>
                <w:rFonts w:ascii="宋体" w:hAnsi="宋体" w:eastAsia="宋体"/>
                <w:sz w:val="21"/>
              </w:rPr>
              <w:t>0.7700</w:t>
            </w:r>
          </w:p>
        </w:tc>
        <w:tc>
          <w:tcPr>
            <w:tcW w:type="dxa" w:w="1814"/>
          </w:tcPr>
          <w:p>
            <w:pPr>
              <w:jc w:val="center"/>
            </w:pPr>
            <w:r/>
            <w:r>
              <w:rPr>
                <w:rFonts w:ascii="宋体" w:hAnsi="宋体" w:eastAsia="宋体"/>
                <w:sz w:val="21"/>
              </w:rPr>
              <w:t>0.0767</w:t>
            </w:r>
          </w:p>
        </w:tc>
        <w:tc>
          <w:tcPr>
            <w:tcW w:type="dxa" w:w="1814"/>
          </w:tcPr>
          <w:p>
            <w:pPr>
              <w:jc w:val="center"/>
            </w:pPr>
            <w:r/>
            <w:r>
              <w:rPr>
                <w:rFonts w:ascii="宋体" w:hAnsi="宋体" w:eastAsia="宋体"/>
                <w:sz w:val="21"/>
              </w:rPr>
              <w:t>0.8382</w:t>
            </w:r>
          </w:p>
        </w:tc>
        <w:tc>
          <w:tcPr>
            <w:tcW w:type="dxa" w:w="1814"/>
          </w:tcPr>
          <w:p>
            <w:pPr>
              <w:jc w:val="center"/>
            </w:pPr>
            <w:r/>
            <w:r>
              <w:rPr>
                <w:rFonts w:ascii="宋体" w:hAnsi="宋体" w:eastAsia="宋体"/>
                <w:sz w:val="21"/>
              </w:rPr>
              <w:t>$R+4.8\%$, $T+6.0\%$，无针肋时散热与均匀性均差</w:t>
            </w:r>
          </w:p>
        </w:tc>
      </w:tr>
      <w:tr>
        <w:tc>
          <w:tcPr>
            <w:tcW w:type="dxa" w:w="1814"/>
          </w:tcPr>
          <w:p>
            <w:pPr>
              <w:jc w:val="center"/>
            </w:pPr>
            <w:r/>
            <w:r>
              <w:rPr>
                <w:rFonts w:ascii="宋体" w:hAnsi="宋体" w:eastAsia="宋体"/>
                <w:sz w:val="21"/>
              </w:rPr>
              <w:t>$r=0.3$ (0.3,4.5,6)</w:t>
            </w:r>
          </w:p>
        </w:tc>
        <w:tc>
          <w:tcPr>
            <w:tcW w:type="dxa" w:w="1814"/>
          </w:tcPr>
          <w:p>
            <w:pPr>
              <w:jc w:val="center"/>
            </w:pPr>
            <w:r/>
            <w:r>
              <w:rPr>
                <w:rFonts w:ascii="宋体" w:hAnsi="宋体" w:eastAsia="宋体"/>
                <w:sz w:val="21"/>
              </w:rPr>
              <w:t>0.7342</w:t>
            </w:r>
          </w:p>
        </w:tc>
        <w:tc>
          <w:tcPr>
            <w:tcW w:type="dxa" w:w="1814"/>
          </w:tcPr>
          <w:p>
            <w:pPr>
              <w:jc w:val="center"/>
            </w:pPr>
            <w:r/>
            <w:r>
              <w:rPr>
                <w:rFonts w:ascii="宋体" w:hAnsi="宋体" w:eastAsia="宋体"/>
                <w:sz w:val="21"/>
              </w:rPr>
              <w:t>0.1265</w:t>
            </w:r>
          </w:p>
        </w:tc>
        <w:tc>
          <w:tcPr>
            <w:tcW w:type="dxa" w:w="1814"/>
          </w:tcPr>
          <w:p>
            <w:pPr>
              <w:jc w:val="center"/>
            </w:pPr>
            <w:r/>
            <w:r>
              <w:rPr>
                <w:rFonts w:ascii="宋体" w:hAnsi="宋体" w:eastAsia="宋体"/>
                <w:sz w:val="21"/>
              </w:rPr>
              <w:t>0.7980</w:t>
            </w:r>
          </w:p>
        </w:tc>
        <w:tc>
          <w:tcPr>
            <w:tcW w:type="dxa" w:w="1814"/>
          </w:tcPr>
          <w:p>
            <w:pPr>
              <w:jc w:val="center"/>
            </w:pPr>
            <w:r/>
            <w:r>
              <w:rPr>
                <w:rFonts w:ascii="宋体" w:hAnsi="宋体" w:eastAsia="宋体"/>
                <w:sz w:val="21"/>
              </w:rPr>
              <w:t>$P+31.6\%$，大针肋堵塞导致压降急剧恶化</w:t>
            </w:r>
          </w:p>
        </w:tc>
      </w:tr>
      <w:tr>
        <w:tc>
          <w:tcPr>
            <w:tcW w:type="dxa" w:w="1814"/>
          </w:tcPr>
          <w:p>
            <w:pPr>
              <w:jc w:val="center"/>
            </w:pPr>
            <w:r/>
            <w:r>
              <w:rPr>
                <w:rFonts w:ascii="宋体" w:hAnsi="宋体" w:eastAsia="宋体"/>
                <w:sz w:val="21"/>
              </w:rPr>
              <w:t>$n=10$ (0.215,4.5,10)</w:t>
            </w:r>
          </w:p>
        </w:tc>
        <w:tc>
          <w:tcPr>
            <w:tcW w:type="dxa" w:w="1814"/>
          </w:tcPr>
          <w:p>
            <w:pPr>
              <w:jc w:val="center"/>
            </w:pPr>
            <w:r/>
            <w:r>
              <w:rPr>
                <w:rFonts w:ascii="宋体" w:hAnsi="宋体" w:eastAsia="宋体"/>
                <w:sz w:val="21"/>
              </w:rPr>
              <w:t>0.7326</w:t>
            </w:r>
          </w:p>
        </w:tc>
        <w:tc>
          <w:tcPr>
            <w:tcW w:type="dxa" w:w="1814"/>
          </w:tcPr>
          <w:p>
            <w:pPr>
              <w:jc w:val="center"/>
            </w:pPr>
            <w:r/>
            <w:r>
              <w:rPr>
                <w:rFonts w:ascii="宋体" w:hAnsi="宋体" w:eastAsia="宋体"/>
                <w:sz w:val="21"/>
              </w:rPr>
              <w:t>0.1058</w:t>
            </w:r>
          </w:p>
        </w:tc>
        <w:tc>
          <w:tcPr>
            <w:tcW w:type="dxa" w:w="1814"/>
          </w:tcPr>
          <w:p>
            <w:pPr>
              <w:jc w:val="center"/>
            </w:pPr>
            <w:r/>
            <w:r>
              <w:rPr>
                <w:rFonts w:ascii="宋体" w:hAnsi="宋体" w:eastAsia="宋体"/>
                <w:sz w:val="21"/>
              </w:rPr>
              <w:t>0.8165</w:t>
            </w:r>
          </w:p>
        </w:tc>
        <w:tc>
          <w:tcPr>
            <w:tcW w:type="dxa" w:w="1814"/>
          </w:tcPr>
          <w:p>
            <w:pPr>
              <w:jc w:val="center"/>
            </w:pPr>
            <w:r/>
            <w:r>
              <w:rPr>
                <w:rFonts w:ascii="宋体" w:hAnsi="宋体" w:eastAsia="宋体"/>
                <w:sz w:val="21"/>
              </w:rPr>
              <w:t>$P+10.1\%$, $T+3.3\%$，过密针肋使压降与温度均匀性劣化</w:t>
            </w:r>
          </w:p>
        </w:tc>
      </w:tr>
    </w:tbl>
    <w:p>
      <w:pPr>
        <w:spacing w:after="120" w:line="360" w:lineRule="auto"/>
        <w:ind w:firstLine="420"/>
      </w:pPr>
      <w:r>
        <w:rPr>
          <w:rFonts w:ascii="宋体" w:hAnsi="宋体" w:eastAsia="宋体"/>
          <w:b w:val="0"/>
          <w:sz w:val="24"/>
        </w:rPr>
        <w:t>边界分析印证了机理模型的U型规律：$r$不宜过大（&gt;0.3则$P$失控）、$n$不宜过多（&gt;6则$P$与$T$均劣化）。Q3与Q4最优方案均落于$r\in[0.20,0.24]$、$n\in[4,6]$的安全区间内，工程建议$r$取0.20~0.24。</w:t>
      </w:r>
    </w:p>
    <w:p>
      <w:pPr>
        <w:spacing w:after="120" w:line="360" w:lineRule="auto"/>
        <w:ind w:firstLine="420"/>
      </w:pPr>
      <w:r>
        <w:rPr>
          <w:rFonts w:ascii="宋体" w:hAnsi="宋体" w:eastAsia="宋体"/>
          <w:b w:val="0"/>
          <w:sz w:val="24"/>
        </w:rPr>
        <w:t>综上所述，模型在误差分析、灵敏度分析与稳健性检验三个维度均表现良好：GPR代理精度达$R^2\geq0.994$且预测方差可靠；$R$与$T$高度稳定（CV&lt;2%），$P$基本稳定（CV&lt;10%）且在$r\in[0.20,0.24]$区间内可控；三路线交叉验证与代理替换验证均支持结论的稳健性。</w:t>
      </w:r>
    </w:p>
    <w:p>
      <w:pPr>
        <w:spacing w:before="240" w:after="160"/>
      </w:pPr>
      <w:r>
        <w:rPr>
          <w:rFonts w:ascii="黑体" w:hAnsi="黑体" w:eastAsia="黑体"/>
          <w:b/>
          <w:sz w:val="32"/>
        </w:rPr>
        <w:t>模型优缺点评价</w:t>
      </w:r>
    </w:p>
    <w:p>
      <w:pPr>
        <w:spacing w:before="160" w:after="120"/>
      </w:pPr>
      <w:r>
        <w:rPr>
          <w:rFonts w:ascii="黑体" w:hAnsi="黑体" w:eastAsia="黑体"/>
          <w:b/>
          <w:sz w:val="28"/>
        </w:rPr>
        <w:t>模型的优点</w:t>
      </w:r>
    </w:p>
    <w:p>
      <w:pPr>
        <w:spacing w:after="120" w:line="360" w:lineRule="auto"/>
        <w:ind w:firstLine="420"/>
      </w:pPr>
      <w:r>
        <w:rPr>
          <w:rFonts w:ascii="宋体" w:hAnsi="宋体" w:eastAsia="宋体"/>
          <w:b w:val="0"/>
          <w:sz w:val="24"/>
        </w:rPr>
        <w:t>第一，机理—代理联合建模，实现"解释性＋精确性"分工。问题一流向分段热—流耦合机理模型在标定后对9个影响方向全部正确，成功再现$R$随$r$、$T$随$n$的U形谷值与$P\propto1/h^2$等规律，承担物理先验与可解释性；问题二GPR以留一法$R^2\ge0.9966$承担精确映射，为优化与稳健性分析提供优化级精度。二者不是替代而是互补，量化分工收益显著（$P$指标机理$R^2=0.779$、GPR留一法$R^2=0.9991$）。</w:t>
      </w:r>
    </w:p>
    <w:p>
      <w:pPr>
        <w:spacing w:after="120" w:line="360" w:lineRule="auto"/>
        <w:ind w:firstLine="420"/>
      </w:pPr>
      <w:r>
        <w:rPr>
          <w:rFonts w:ascii="宋体" w:hAnsi="宋体" w:eastAsia="宋体"/>
          <w:b w:val="0"/>
          <w:sz w:val="24"/>
        </w:rPr>
        <w:t>第二，GPR在小样本下的高精度与不确定度量化的创新。在仅84样本下，Matérn 5/2 ARD核＋白噪声的GPR达到留一法$R^2\ge0.9966$，ARD自动特征选择输出与机理结论互相印证；其逐点预测方差$\sigma_*^2(x)$是多项式（在84样本上近似插值、$R^2=1.0$）与随机森林（$R^2$仅0.65~0.82）无法提供的，正是该输出使问题五的"参数偶然＋模型认知＋工况波动"双源三源传播闭环得以实现。</w:t>
      </w:r>
    </w:p>
    <w:p>
      <w:pPr>
        <w:spacing w:after="120" w:line="360" w:lineRule="auto"/>
        <w:ind w:firstLine="420"/>
      </w:pPr>
      <w:r>
        <w:rPr>
          <w:rFonts w:ascii="宋体" w:hAnsi="宋体" w:eastAsia="宋体"/>
          <w:b w:val="0"/>
          <w:sz w:val="24"/>
        </w:rPr>
        <w:t>第三，Max-Min鲁棒优化的顶点闭式约简贡献。权重域Max-Min问题本是嵌套双层优化，利用$S$对$\mathbf{w}$线性、$\Delta_3$顶点恰为三个纯权重的凸性结构，闭式约简为单层minimax，用标准DE一次性求得严格鲁棒解；全域鲁棒方案最坏情形分$W=0.2380$、偏好敏感带宽$B=0.0590$均为三方案最小，且均匀期望$E_S=0.2033$仅略逊，鲁棒代价有限。</w:t>
      </w:r>
    </w:p>
    <w:p>
      <w:pPr>
        <w:spacing w:after="120" w:line="360" w:lineRule="auto"/>
        <w:ind w:firstLine="420"/>
      </w:pPr>
      <w:r>
        <w:rPr>
          <w:rFonts w:ascii="宋体" w:hAnsi="宋体" w:eastAsia="宋体"/>
          <w:b w:val="0"/>
          <w:sz w:val="24"/>
        </w:rPr>
        <w:t>第四，多路线交叉验证与概率化稳健性评估的严谨性。熵权TOPSIS、等权重标量化与全域Max-Min三条独立路线$r^*$、$h^*$高度一致，前沿支配97.62%的数据设计；问题五将指标方差分解为参数/认知/工况三类并叠加局部弹性、Sobol与有限扰动三视角灵敏度，结论相互印证而非单一偏导近似。</w:t>
      </w:r>
    </w:p>
    <w:p>
      <w:pPr>
        <w:spacing w:before="160" w:after="120"/>
      </w:pPr>
      <w:r>
        <w:rPr>
          <w:rFonts w:ascii="黑体" w:hAnsi="黑体" w:eastAsia="黑体"/>
          <w:b/>
          <w:sz w:val="28"/>
        </w:rPr>
        <w:t>模型的缺点</w:t>
      </w:r>
    </w:p>
    <w:p>
      <w:pPr>
        <w:spacing w:after="120" w:line="360" w:lineRule="auto"/>
        <w:ind w:firstLine="420"/>
      </w:pPr>
      <w:r>
        <w:rPr>
          <w:rFonts w:ascii="宋体" w:hAnsi="宋体" w:eastAsia="宋体"/>
          <w:b w:val="0"/>
          <w:sz w:val="24"/>
        </w:rPr>
        <w:t>第一，问题一机理模型对$R$、$T$拟合较弱。其$P$指标Pearson相关达0.882，但$R$、$T$的$R^2$仅0.307与0.212，残余波动约为数据标准差的2倍以上。结构性原因在于：$T$的U形峰谷差仅约0.05~0.08，为显现$T$非单调形态需放大壁温移动幅度，这同时放大了$R$的散布，机理模型在$R$、$T$间难以两全。故机理模型定位为规律与先验解释，不替代精确代理。</w:t>
      </w:r>
    </w:p>
    <w:p>
      <w:pPr>
        <w:spacing w:after="120" w:line="360" w:lineRule="auto"/>
        <w:ind w:firstLine="420"/>
      </w:pPr>
      <w:r>
        <w:rPr>
          <w:rFonts w:ascii="宋体" w:hAnsi="宋体" w:eastAsia="宋体"/>
          <w:b w:val="0"/>
          <w:sz w:val="24"/>
        </w:rPr>
        <w:t>第二，训练域受限与边界依赖。代理训练数据仅84样本，覆盖$r\in\{0,0.1,0.15,0.2,0.3\}\times h\in\{3,3.5,4,4.5\}\times n\in\{0,2,4,6,8,10\}$，域外（如$n\in(0,2)$、$h&gt;4.5$）无数据支撑、GPR外推不可靠（假设13）；三个最优方案$h^*$均落在可行域上边界4.5，$h$正扰动被边界截断，提示最优解贴近设计边界、对域外未知存在依赖。</w:t>
      </w:r>
    </w:p>
    <w:p>
      <w:pPr>
        <w:spacing w:after="120" w:line="360" w:lineRule="auto"/>
        <w:ind w:firstLine="420"/>
      </w:pPr>
      <w:r>
        <w:rPr>
          <w:rFonts w:ascii="宋体" w:hAnsi="宋体" w:eastAsia="宋体"/>
          <w:b w:val="0"/>
          <w:sz w:val="24"/>
        </w:rPr>
        <w:t>第三，阈值与噪声量级具有一定主观性。问题五失效阈值（名义值×1.05）与工况波动量级（$\sigma_{op}=1.5\%$）为人为设定，换值会改变失效概率绝对值（尽管$R$、$T$高度稳定、$P$基本稳定的相对结论不敏感）；$n$仅取偶数、$r=0\Longleftrightarrow n=0$的约束源于数据采样规则而非物理必然。</w:t>
      </w:r>
    </w:p>
    <w:p>
      <w:pPr>
        <w:spacing w:before="160" w:after="120"/>
      </w:pPr>
      <w:r>
        <w:rPr>
          <w:rFonts w:ascii="黑体" w:hAnsi="黑体" w:eastAsia="黑体"/>
          <w:b/>
          <w:sz w:val="28"/>
        </w:rPr>
        <w:t>模型的改进</w:t>
      </w:r>
    </w:p>
    <w:p>
      <w:pPr>
        <w:spacing w:after="120" w:line="360" w:lineRule="auto"/>
        <w:ind w:firstLine="420"/>
      </w:pPr>
      <w:r>
        <w:rPr>
          <w:rFonts w:ascii="宋体" w:hAnsi="宋体" w:eastAsia="宋体"/>
          <w:b w:val="0"/>
          <w:sz w:val="24"/>
        </w:rPr>
        <w:t>针对上述不足，可作如下改进。第一，扩充训练域并采用自适应采样：以真实三维CFD补齐$n\in(0,2)$与$h&gt;4.5$空白，并按GPR预测方差$\sigma_*^2(x)$最大区域优先补样（贝叶斯优化式主动选点），用最少样本最大化信息增益，使鲁棒最优解脱离设计域边界。第二，物理信息嵌入：将问题一机理模型作为GPR均值函数、用GPR拟合机理残差，可同时保留外推合理性与局部精度，缓解训练域依赖。第三，工况显式建模：将流量、入口温度作为代理显式输入重训，替代解析修正与$\sigma_{op}$假设，直接量化工况影响。第四，开展真实三维流固热耦合验证，复核"$T$由$n$主导（Sobol $S_1=0.56$）"在三维情形下的稳健性。</w:t>
      </w:r>
    </w:p>
    <w:p>
      <w:pPr>
        <w:spacing w:before="160" w:after="120"/>
      </w:pPr>
      <w:r>
        <w:rPr>
          <w:rFonts w:ascii="黑体" w:hAnsi="黑体" w:eastAsia="黑体"/>
          <w:b/>
          <w:sz w:val="28"/>
        </w:rPr>
        <w:t>推广价值</w:t>
      </w:r>
    </w:p>
    <w:p>
      <w:pPr>
        <w:spacing w:after="120" w:line="360" w:lineRule="auto"/>
        <w:ind w:firstLine="420"/>
      </w:pPr>
      <w:r>
        <w:rPr>
          <w:rFonts w:ascii="宋体" w:hAnsi="宋体" w:eastAsia="宋体"/>
          <w:b w:val="0"/>
          <w:sz w:val="24"/>
        </w:rPr>
        <w:t>本文"机理定方向＋代理定精度"的混合建模框架适用于一般"参数→性能映射＋多目标优化＋鲁棒设计"的工程优化问题（热管理、结构轻量化、工艺参数优化等），前提是设计变量可枚举/连续、目标函数可数值求值。权重域Max-Min的顶点闭式约简可推广到任何"目标函数对权重仿射线性、权重域为凸多胞形"的决策问题；双源不确定度传播要求代理具备认知不确定度输出（GPR或其他贝叶斯代理），这是该框架向其他问题推广的最低要求。</w:t>
      </w:r>
    </w:p>
    <w:p>
      <w:pPr>
        <w:spacing w:before="240" w:after="160"/>
      </w:pPr>
      <w:r>
        <w:rPr>
          <w:rFonts w:ascii="黑体" w:hAnsi="黑体" w:eastAsia="黑体"/>
          <w:b/>
          <w:sz w:val="32"/>
        </w:rPr>
        <w:t>参考文献</w:t>
      </w:r>
    </w:p>
    <w:p>
      <w:pPr>
        <w:spacing w:after="120" w:line="360" w:lineRule="auto"/>
        <w:ind w:firstLine="420"/>
      </w:pPr>
      <w:r>
        <w:rPr>
          <w:rFonts w:ascii="宋体" w:hAnsi="宋体" w:eastAsia="宋体"/>
          <w:b w:val="0"/>
          <w:sz w:val="24"/>
        </w:rPr>
        <w:t>[1] Cang D, Dong Z, Lv S, et al. Design and intelligent optimization of TSV-based embedded microchannel heatsinks in 2.5D packaging[J]. International Journal of Heat and Mass Transfer, 2026, 255: 127908.</w:t>
      </w:r>
    </w:p>
    <w:p>
      <w:pPr>
        <w:spacing w:after="120" w:line="360" w:lineRule="auto"/>
        <w:ind w:firstLine="420"/>
      </w:pPr>
      <w:r>
        <w:rPr>
          <w:rFonts w:ascii="宋体" w:hAnsi="宋体" w:eastAsia="宋体"/>
          <w:b w:val="0"/>
          <w:sz w:val="24"/>
        </w:rPr>
        <w:t>[2] Zhang J, Sadiqbatcha S, Tan S X D. Hot-trim: thermal and reliability management for commercial multicore processors considering workload dependent hot spots[J]. IEEE Transactions on Computer-Aided Design of Integrated Circuits and Systems, 2022, 42(7): 2290-2302.</w:t>
      </w:r>
    </w:p>
    <w:p>
      <w:pPr>
        <w:spacing w:after="120" w:line="360" w:lineRule="auto"/>
        <w:ind w:firstLine="420"/>
      </w:pPr>
      <w:r>
        <w:rPr>
          <w:rFonts w:ascii="宋体" w:hAnsi="宋体" w:eastAsia="宋体"/>
          <w:b w:val="0"/>
          <w:sz w:val="24"/>
        </w:rPr>
        <w:t>[3] He W, Yin E, Zhou F, et al. Integrated manifold microchannels and near-junction cooling for enhanced thermal management in 3D heterogeneous packaging technology[J]. Energy, 2024, 305: 132263.</w:t>
      </w:r>
    </w:p>
    <w:p>
      <w:pPr>
        <w:spacing w:after="120" w:line="360" w:lineRule="auto"/>
        <w:ind w:firstLine="420"/>
      </w:pPr>
      <w:r>
        <w:rPr>
          <w:rFonts w:ascii="宋体" w:hAnsi="宋体" w:eastAsia="宋体"/>
          <w:b w:val="0"/>
          <w:sz w:val="24"/>
        </w:rPr>
        <w:t>[4] 薛毅. "碳化硅外延层厚度的确定"的问题解析[J]. 数学建模及其应用, 2026, 15(1): 75-85.</w:t>
      </w:r>
    </w:p>
    <w:p>
      <w:pPr>
        <w:spacing w:after="120" w:line="360" w:lineRule="auto"/>
        <w:ind w:firstLine="420"/>
      </w:pPr>
      <w:r>
        <w:rPr>
          <w:rFonts w:ascii="宋体" w:hAnsi="宋体" w:eastAsia="宋体"/>
          <w:b w:val="0"/>
          <w:sz w:val="24"/>
        </w:rPr>
        <w:t>[5] Rasmussen C E, Williams C K I. Gaussian Processes for Machine Learning[M]. Cambridge: MIT Press, 2006.</w:t>
      </w:r>
    </w:p>
    <w:p>
      <w:pPr>
        <w:spacing w:after="120" w:line="360" w:lineRule="auto"/>
        <w:ind w:firstLine="420"/>
      </w:pPr>
      <w:r>
        <w:rPr>
          <w:rFonts w:ascii="宋体" w:hAnsi="宋体" w:eastAsia="宋体"/>
          <w:b w:val="0"/>
          <w:sz w:val="24"/>
        </w:rPr>
        <w:t>[6] Deb K, Pratap A, Agarwal S, et al. A fast and elitist multiobjective genetic algorithm: NSGA-II[J]. IEEE Transactions on Evolutionary Computation, 2002, 6(2): 182-197.</w:t>
      </w:r>
    </w:p>
    <w:p>
      <w:pPr>
        <w:spacing w:after="120" w:line="360" w:lineRule="auto"/>
        <w:ind w:firstLine="420"/>
      </w:pPr>
      <w:r>
        <w:rPr>
          <w:rFonts w:ascii="宋体" w:hAnsi="宋体" w:eastAsia="宋体"/>
          <w:b w:val="0"/>
          <w:sz w:val="24"/>
        </w:rPr>
        <w:t>[7] Hwang C L, Yoon K. Multiple Attribute Decision Making: Methods and Applications[M]. Berlin: Springer, 1981.</w:t>
      </w:r>
    </w:p>
    <w:p>
      <w:pPr>
        <w:spacing w:after="120" w:line="360" w:lineRule="auto"/>
        <w:ind w:firstLine="420"/>
      </w:pPr>
      <w:r>
        <w:rPr>
          <w:rFonts w:ascii="宋体" w:hAnsi="宋体" w:eastAsia="宋体"/>
          <w:b w:val="0"/>
          <w:sz w:val="24"/>
        </w:rPr>
        <w:t>[8] Saltelli A. Making best use of model evaluations to compute sensitivity indices[J]. Computer Physics Communications, 2002, 145(2): 280-297.</w:t>
      </w:r>
    </w:p>
    <w:p>
      <w:pPr>
        <w:spacing w:after="120" w:line="360" w:lineRule="auto"/>
        <w:ind w:firstLine="420"/>
      </w:pPr>
      <w:r>
        <w:rPr>
          <w:rFonts w:ascii="宋体" w:hAnsi="宋体" w:eastAsia="宋体"/>
          <w:b w:val="0"/>
          <w:sz w:val="24"/>
        </w:rPr>
        <w:t>[9] Sobol I M. Global sensitivity indices for nonlinear mathematical models and their Monte Carlo estimates[J]. Mathematics and Computers in Simulation, 2001, 55(1-3): 271-280.</w:t>
      </w:r>
    </w:p>
    <w:p>
      <w:pPr>
        <w:spacing w:after="120" w:line="360" w:lineRule="auto"/>
        <w:ind w:firstLine="420"/>
      </w:pPr>
      <w:r>
        <w:rPr>
          <w:rFonts w:ascii="宋体" w:hAnsi="宋体" w:eastAsia="宋体"/>
          <w:b w:val="0"/>
          <w:sz w:val="24"/>
        </w:rPr>
        <w:t>[10] Incropera F P, DeWitt D P, Bergman T L, et al. Fundamentals of Heat and Mass Transfer[M]. 7th ed. Hoboken: John Wiley &amp; Sons, 2011.</w:t>
      </w:r>
    </w:p>
    <w:p>
      <w:pPr>
        <w:spacing w:after="120" w:line="360" w:lineRule="auto"/>
        <w:ind w:firstLine="420"/>
      </w:pPr>
      <w:r>
        <w:rPr>
          <w:rFonts w:ascii="宋体" w:hAnsi="宋体" w:eastAsia="宋体"/>
          <w:b w:val="0"/>
          <w:sz w:val="24"/>
        </w:rPr>
        <w:t>[11] Tuckerman D B, Pease R F W. High-performance heat sinking for VLSI[J]. IEEE Electron Device Letters, 1981, 2(5): 126-129.</w:t>
      </w:r>
    </w:p>
    <w:p>
      <w:pPr>
        <w:spacing w:after="120" w:line="360" w:lineRule="auto"/>
        <w:ind w:firstLine="420"/>
      </w:pPr>
      <w:r>
        <w:rPr>
          <w:rFonts w:ascii="宋体" w:hAnsi="宋体" w:eastAsia="宋体"/>
          <w:b w:val="0"/>
          <w:sz w:val="24"/>
        </w:rPr>
        <w:t>[12] Claude Code, 3.x, Anthropic, 2026-08-12.</w:t>
      </w:r>
    </w:p>
    <w:p>
      <w:pPr>
        <w:spacing w:before="240" w:after="160"/>
      </w:pPr>
      <w:r>
        <w:rPr>
          <w:rFonts w:ascii="黑体" w:hAnsi="黑体" w:eastAsia="黑体"/>
          <w:b/>
          <w:sz w:val="32"/>
        </w:rPr>
        <w:t>AI工具使用声明</w:t>
      </w:r>
    </w:p>
    <w:p>
      <w:pPr>
        <w:spacing w:after="120" w:line="360" w:lineRule="auto"/>
        <w:ind w:firstLine="420"/>
      </w:pPr>
      <w:r>
        <w:rPr>
          <w:rFonts w:ascii="宋体" w:hAnsi="宋体" w:eastAsia="宋体"/>
          <w:b w:val="0"/>
          <w:sz w:val="24"/>
        </w:rPr>
        <w:t>本论文在研究与撰写过程中使用了人工智能（AI）工具作为辅助，现依据2026年全国大学生数学建模竞赛要求如实声明如下。</w:t>
      </w:r>
    </w:p>
    <w:p>
      <w:pPr>
        <w:spacing w:before="160" w:after="120"/>
      </w:pPr>
      <w:r>
        <w:rPr>
          <w:rFonts w:ascii="黑体" w:hAnsi="黑体" w:eastAsia="黑体"/>
          <w:b/>
          <w:sz w:val="28"/>
        </w:rPr>
        <w:t>使用情况</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3024"/>
        <w:gridCol w:w="3024"/>
        <w:gridCol w:w="3024"/>
      </w:tblGrid>
      <w:tr>
        <w:tc>
          <w:tcPr>
            <w:tcW w:type="dxa" w:w="3024"/>
            <w:tcBorders>
              <w:bottom w:val="single" w:sz="6" w:color="000000"/>
            </w:tcBorders>
          </w:tcPr>
          <w:p>
            <w:pPr>
              <w:jc w:val="center"/>
            </w:pPr>
            <w:r/>
            <w:r>
              <w:rPr>
                <w:rFonts w:ascii="宋体" w:hAnsi="宋体" w:eastAsia="宋体"/>
                <w:b/>
                <w:sz w:val="21"/>
              </w:rPr>
              <w:t>环节</w:t>
            </w:r>
          </w:p>
        </w:tc>
        <w:tc>
          <w:tcPr>
            <w:tcW w:type="dxa" w:w="3024"/>
            <w:tcBorders>
              <w:bottom w:val="single" w:sz="6" w:color="000000"/>
            </w:tcBorders>
          </w:tcPr>
          <w:p>
            <w:pPr>
              <w:jc w:val="center"/>
            </w:pPr>
            <w:r/>
            <w:r>
              <w:rPr>
                <w:rFonts w:ascii="宋体" w:hAnsi="宋体" w:eastAsia="宋体"/>
                <w:b/>
                <w:sz w:val="21"/>
              </w:rPr>
              <w:t>用途</w:t>
            </w:r>
          </w:p>
        </w:tc>
        <w:tc>
          <w:tcPr>
            <w:tcW w:type="dxa" w:w="3024"/>
            <w:tcBorders>
              <w:bottom w:val="single" w:sz="6" w:color="000000"/>
            </w:tcBorders>
          </w:tcPr>
          <w:p>
            <w:pPr>
              <w:jc w:val="center"/>
            </w:pPr>
            <w:r/>
            <w:r>
              <w:rPr>
                <w:rFonts w:ascii="宋体" w:hAnsi="宋体" w:eastAsia="宋体"/>
                <w:b/>
                <w:sz w:val="21"/>
              </w:rPr>
              <w:t>采纳/修改情况</w:t>
            </w:r>
          </w:p>
        </w:tc>
      </w:tr>
      <w:tr>
        <w:tc>
          <w:tcPr>
            <w:tcW w:type="dxa" w:w="3024"/>
          </w:tcPr>
          <w:p>
            <w:pPr>
              <w:jc w:val="center"/>
            </w:pPr>
            <w:r/>
            <w:r>
              <w:rPr>
                <w:rFonts w:ascii="宋体" w:hAnsi="宋体" w:eastAsia="宋体"/>
                <w:sz w:val="21"/>
              </w:rPr>
              <w:t>代码生成与调试</w:t>
            </w:r>
          </w:p>
        </w:tc>
        <w:tc>
          <w:tcPr>
            <w:tcW w:type="dxa" w:w="3024"/>
          </w:tcPr>
          <w:p>
            <w:pPr>
              <w:jc w:val="center"/>
            </w:pPr>
            <w:r/>
            <w:r>
              <w:rPr>
                <w:rFonts w:ascii="宋体" w:hAnsi="宋体" w:eastAsia="宋体"/>
                <w:sz w:val="21"/>
              </w:rPr>
              <w:t>使用AI工具辅助编写建模与求解的Python代码</w:t>
            </w:r>
          </w:p>
        </w:tc>
        <w:tc>
          <w:tcPr>
            <w:tcW w:type="dxa" w:w="3024"/>
          </w:tcPr>
          <w:p>
            <w:pPr>
              <w:jc w:val="center"/>
            </w:pPr>
            <w:r/>
            <w:r>
              <w:rPr>
                <w:rFonts w:ascii="宋体" w:hAnsi="宋体" w:eastAsia="宋体"/>
                <w:sz w:val="21"/>
              </w:rPr>
              <w:t>全部代码经人工审查、运行验证并修改</w:t>
            </w:r>
          </w:p>
        </w:tc>
      </w:tr>
      <w:tr>
        <w:tc>
          <w:tcPr>
            <w:tcW w:type="dxa" w:w="3024"/>
          </w:tcPr>
          <w:p>
            <w:pPr>
              <w:jc w:val="center"/>
            </w:pPr>
            <w:r/>
            <w:r>
              <w:rPr>
                <w:rFonts w:ascii="宋体" w:hAnsi="宋体" w:eastAsia="宋体"/>
                <w:sz w:val="21"/>
              </w:rPr>
              <w:t>模型方案讨论</w:t>
            </w:r>
          </w:p>
        </w:tc>
        <w:tc>
          <w:tcPr>
            <w:tcW w:type="dxa" w:w="3024"/>
          </w:tcPr>
          <w:p>
            <w:pPr>
              <w:jc w:val="center"/>
            </w:pPr>
            <w:r/>
            <w:r>
              <w:rPr>
                <w:rFonts w:ascii="宋体" w:hAnsi="宋体" w:eastAsia="宋体"/>
                <w:sz w:val="21"/>
              </w:rPr>
              <w:t>使用AI工具协助梳理候选模型与求解路线</w:t>
            </w:r>
          </w:p>
        </w:tc>
        <w:tc>
          <w:tcPr>
            <w:tcW w:type="dxa" w:w="3024"/>
          </w:tcPr>
          <w:p>
            <w:pPr>
              <w:jc w:val="center"/>
            </w:pPr>
            <w:r/>
            <w:r>
              <w:rPr>
                <w:rFonts w:ascii="宋体" w:hAnsi="宋体" w:eastAsia="宋体"/>
                <w:sz w:val="21"/>
              </w:rPr>
              <w:t>人工审核后采纳，模型选择与参数取值由参赛队独立确定</w:t>
            </w:r>
          </w:p>
        </w:tc>
      </w:tr>
      <w:tr>
        <w:tc>
          <w:tcPr>
            <w:tcW w:type="dxa" w:w="3024"/>
          </w:tcPr>
          <w:p>
            <w:pPr>
              <w:jc w:val="center"/>
            </w:pPr>
            <w:r/>
            <w:r>
              <w:rPr>
                <w:rFonts w:ascii="宋体" w:hAnsi="宋体" w:eastAsia="宋体"/>
                <w:sz w:val="21"/>
              </w:rPr>
              <w:t>论文初稿撰写</w:t>
            </w:r>
          </w:p>
        </w:tc>
        <w:tc>
          <w:tcPr>
            <w:tcW w:type="dxa" w:w="3024"/>
          </w:tcPr>
          <w:p>
            <w:pPr>
              <w:jc w:val="center"/>
            </w:pPr>
            <w:r/>
            <w:r>
              <w:rPr>
                <w:rFonts w:ascii="宋体" w:hAnsi="宋体" w:eastAsia="宋体"/>
                <w:sz w:val="21"/>
              </w:rPr>
              <w:t>使用AI工具辅助组织文字表述</w:t>
            </w:r>
          </w:p>
        </w:tc>
        <w:tc>
          <w:tcPr>
            <w:tcW w:type="dxa" w:w="3024"/>
          </w:tcPr>
          <w:p>
            <w:pPr>
              <w:jc w:val="center"/>
            </w:pPr>
            <w:r/>
            <w:r>
              <w:rPr>
                <w:rFonts w:ascii="宋体" w:hAnsi="宋体" w:eastAsia="宋体"/>
                <w:sz w:val="21"/>
              </w:rPr>
              <w:t>人工大幅修改，数据与结论均以代码运行结果为准</w:t>
            </w:r>
          </w:p>
        </w:tc>
      </w:tr>
    </w:tbl>
    <w:p>
      <w:pPr>
        <w:spacing w:before="160" w:after="120"/>
      </w:pPr>
      <w:r>
        <w:rPr>
          <w:rFonts w:ascii="黑体" w:hAnsi="黑体" w:eastAsia="黑体"/>
          <w:b/>
          <w:sz w:val="28"/>
        </w:rPr>
        <w:t>声明</w:t>
      </w:r>
    </w:p>
    <w:p>
      <w:pPr>
        <w:spacing w:after="120" w:line="360" w:lineRule="auto"/>
        <w:ind w:firstLine="420"/>
      </w:pPr>
      <w:r>
        <w:rPr>
          <w:rFonts w:ascii="宋体" w:hAnsi="宋体" w:eastAsia="宋体"/>
          <w:b w:val="0"/>
          <w:sz w:val="24"/>
        </w:rPr>
        <w:t>本论文的核心建模思想、模型假设、求解方法与结论均由参赛队独立完成；</w:t>
      </w:r>
    </w:p>
    <w:p>
      <w:pPr>
        <w:spacing w:after="120" w:line="360" w:lineRule="auto"/>
        <w:ind w:firstLine="420"/>
      </w:pPr>
      <w:r>
        <w:rPr>
          <w:rFonts w:ascii="宋体" w:hAnsi="宋体" w:eastAsia="宋体"/>
          <w:b w:val="0"/>
          <w:sz w:val="24"/>
        </w:rPr>
        <w:t>所有AI生成内容均经过人工审核和修改，参赛队对论文的原创性、真实性和准确性负全部责任；</w:t>
      </w:r>
    </w:p>
    <w:p>
      <w:pPr>
        <w:spacing w:after="120" w:line="360" w:lineRule="auto"/>
        <w:ind w:firstLine="420"/>
      </w:pPr>
      <w:r>
        <w:rPr>
          <w:rFonts w:ascii="宋体" w:hAnsi="宋体" w:eastAsia="宋体"/>
          <w:b w:val="0"/>
          <w:sz w:val="24"/>
        </w:rPr>
        <w:t>竞赛期间所有AI交互的详细信息（工具名称、版本、关键提示词与回复）见支撑材料中的《AI工具使用详情》（Markdown）；</w:t>
      </w:r>
    </w:p>
    <w:p>
      <w:pPr>
        <w:spacing w:after="120" w:line="360" w:lineRule="auto"/>
        <w:ind w:firstLine="420"/>
      </w:pPr>
      <w:r>
        <w:rPr>
          <w:rFonts w:ascii="宋体" w:hAnsi="宋体" w:eastAsia="宋体"/>
          <w:b w:val="0"/>
          <w:sz w:val="24"/>
        </w:rPr>
        <w:t>本次使用的人工智能工具已在参考文献[12]中列出。</w:t>
      </w:r>
    </w:p>
    <w:p>
      <w:pPr>
        <w:spacing w:after="120" w:line="360" w:lineRule="auto"/>
        <w:ind w:firstLine="420"/>
      </w:pPr>
      <w:r>
        <w:rPr>
          <w:rFonts w:ascii="宋体" w:hAnsi="宋体" w:eastAsia="宋体"/>
          <w:b/>
          <w:sz w:val="24"/>
        </w:rPr>
        <w:t>本参赛队未使用任何AI工具以外的第三方代写服务。</w:t>
      </w:r>
    </w:p>
    <w:p>
      <w:pPr>
        <w:spacing w:before="240" w:after="160"/>
      </w:pPr>
      <w:r>
        <w:rPr>
          <w:rFonts w:ascii="黑体" w:hAnsi="黑体" w:eastAsia="黑体"/>
          <w:b/>
          <w:sz w:val="32"/>
        </w:rPr>
        <w:t>附录</w:t>
      </w:r>
    </w:p>
    <w:p>
      <w:pPr>
        <w:spacing w:before="160" w:after="120"/>
      </w:pPr>
      <w:r>
        <w:rPr>
          <w:rFonts w:ascii="黑体" w:hAnsi="黑体" w:eastAsia="黑体"/>
          <w:b/>
          <w:sz w:val="28"/>
        </w:rPr>
        <w:t>附录A 附件文件列表</w:t>
      </w:r>
    </w:p>
    <w:p>
      <w:pPr>
        <w:spacing w:after="120" w:line="360" w:lineRule="auto"/>
        <w:ind w:firstLine="420"/>
      </w:pPr>
      <w:r>
        <w:rPr>
          <w:rFonts w:ascii="宋体" w:hAnsi="宋体" w:eastAsia="宋体"/>
          <w:b w:val="0"/>
          <w:sz w:val="24"/>
        </w:rPr>
        <w:t>支撑材料包含以下文件。</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4536"/>
        <w:gridCol w:w="4536"/>
      </w:tblGrid>
      <w:tr>
        <w:tc>
          <w:tcPr>
            <w:tcW w:type="dxa" w:w="4536"/>
            <w:tcBorders>
              <w:bottom w:val="single" w:sz="6" w:color="000000"/>
            </w:tcBorders>
          </w:tcPr>
          <w:p>
            <w:pPr>
              <w:jc w:val="center"/>
            </w:pPr>
            <w:r/>
            <w:r>
              <w:rPr>
                <w:rFonts w:ascii="宋体" w:hAnsi="宋体" w:eastAsia="宋体"/>
                <w:b/>
                <w:sz w:val="21"/>
              </w:rPr>
              <w:t>文件</w:t>
            </w:r>
          </w:p>
        </w:tc>
        <w:tc>
          <w:tcPr>
            <w:tcW w:type="dxa" w:w="4536"/>
            <w:tcBorders>
              <w:bottom w:val="single" w:sz="6" w:color="000000"/>
            </w:tcBorders>
          </w:tcPr>
          <w:p>
            <w:pPr>
              <w:jc w:val="center"/>
            </w:pPr>
            <w:r/>
            <w:r>
              <w:rPr>
                <w:rFonts w:ascii="宋体" w:hAnsi="宋体" w:eastAsia="宋体"/>
                <w:b/>
                <w:sz w:val="21"/>
              </w:rPr>
              <w:t>说明</w:t>
            </w:r>
          </w:p>
        </w:tc>
      </w:tr>
      <w:tr>
        <w:tc>
          <w:tcPr>
            <w:tcW w:type="dxa" w:w="4536"/>
          </w:tcPr>
          <w:p>
            <w:pPr>
              <w:jc w:val="center"/>
            </w:pPr>
            <w:r/>
            <w:r>
              <w:rPr>
                <w:rFonts w:ascii="宋体" w:hAnsi="宋体" w:eastAsia="宋体"/>
                <w:sz w:val="21"/>
              </w:rPr>
              <w:t>code/data_loader.py</w:t>
            </w:r>
          </w:p>
        </w:tc>
        <w:tc>
          <w:tcPr>
            <w:tcW w:type="dxa" w:w="4536"/>
          </w:tcPr>
          <w:p>
            <w:pPr>
              <w:jc w:val="center"/>
            </w:pPr>
            <w:r/>
            <w:r>
              <w:rPr>
                <w:rFonts w:ascii="宋体" w:hAnsi="宋体" w:eastAsia="宋体"/>
                <w:sz w:val="21"/>
              </w:rPr>
              <w:t>数据读取与预处理</w:t>
            </w:r>
          </w:p>
        </w:tc>
      </w:tr>
      <w:tr>
        <w:tc>
          <w:tcPr>
            <w:tcW w:type="dxa" w:w="4536"/>
          </w:tcPr>
          <w:p>
            <w:pPr>
              <w:jc w:val="center"/>
            </w:pPr>
            <w:r/>
            <w:r>
              <w:rPr>
                <w:rFonts w:ascii="宋体" w:hAnsi="宋体" w:eastAsia="宋体"/>
                <w:sz w:val="21"/>
              </w:rPr>
              <w:t>code/eda.py</w:t>
            </w:r>
          </w:p>
        </w:tc>
        <w:tc>
          <w:tcPr>
            <w:tcW w:type="dxa" w:w="4536"/>
          </w:tcPr>
          <w:p>
            <w:pPr>
              <w:jc w:val="center"/>
            </w:pPr>
            <w:r/>
            <w:r>
              <w:rPr>
                <w:rFonts w:ascii="宋体" w:hAnsi="宋体" w:eastAsia="宋体"/>
                <w:sz w:val="21"/>
              </w:rPr>
              <w:t>探索性数据分析</w:t>
            </w:r>
          </w:p>
        </w:tc>
      </w:tr>
      <w:tr>
        <w:tc>
          <w:tcPr>
            <w:tcW w:type="dxa" w:w="4536"/>
          </w:tcPr>
          <w:p>
            <w:pPr>
              <w:jc w:val="center"/>
            </w:pPr>
            <w:r/>
            <w:r>
              <w:rPr>
                <w:rFonts w:ascii="宋体" w:hAnsi="宋体" w:eastAsia="宋体"/>
                <w:sz w:val="21"/>
              </w:rPr>
              <w:t>code/surrogate.py</w:t>
            </w:r>
          </w:p>
        </w:tc>
        <w:tc>
          <w:tcPr>
            <w:tcW w:type="dxa" w:w="4536"/>
          </w:tcPr>
          <w:p>
            <w:pPr>
              <w:jc w:val="center"/>
            </w:pPr>
            <w:r/>
            <w:r>
              <w:rPr>
                <w:rFonts w:ascii="宋体" w:hAnsi="宋体" w:eastAsia="宋体"/>
                <w:sz w:val="21"/>
              </w:rPr>
              <w:t>代理模型通用封装（GPR/多项式/随机森林）</w:t>
            </w:r>
          </w:p>
        </w:tc>
      </w:tr>
      <w:tr>
        <w:tc>
          <w:tcPr>
            <w:tcW w:type="dxa" w:w="4536"/>
          </w:tcPr>
          <w:p>
            <w:pPr>
              <w:jc w:val="center"/>
            </w:pPr>
            <w:r/>
            <w:r>
              <w:rPr>
                <w:rFonts w:ascii="宋体" w:hAnsi="宋体" w:eastAsia="宋体"/>
                <w:sz w:val="21"/>
              </w:rPr>
              <w:t>code/utils.py</w:t>
            </w:r>
          </w:p>
        </w:tc>
        <w:tc>
          <w:tcPr>
            <w:tcW w:type="dxa" w:w="4536"/>
          </w:tcPr>
          <w:p>
            <w:pPr>
              <w:jc w:val="center"/>
            </w:pPr>
            <w:r/>
            <w:r>
              <w:rPr>
                <w:rFonts w:ascii="宋体" w:hAnsi="宋体" w:eastAsia="宋体"/>
                <w:sz w:val="21"/>
              </w:rPr>
              <w:t>归一化/交叉验证等通用工具函数</w:t>
            </w:r>
          </w:p>
        </w:tc>
      </w:tr>
      <w:tr>
        <w:tc>
          <w:tcPr>
            <w:tcW w:type="dxa" w:w="4536"/>
          </w:tcPr>
          <w:p>
            <w:pPr>
              <w:jc w:val="center"/>
            </w:pPr>
            <w:r/>
            <w:r>
              <w:rPr>
                <w:rFonts w:ascii="宋体" w:hAnsi="宋体" w:eastAsia="宋体"/>
                <w:sz w:val="21"/>
              </w:rPr>
              <w:t>code/q1_model.py</w:t>
            </w:r>
          </w:p>
        </w:tc>
        <w:tc>
          <w:tcPr>
            <w:tcW w:type="dxa" w:w="4536"/>
          </w:tcPr>
          <w:p>
            <w:pPr>
              <w:jc w:val="center"/>
            </w:pPr>
            <w:r/>
            <w:r>
              <w:rPr>
                <w:rFonts w:ascii="宋体" w:hAnsi="宋体" w:eastAsia="宋体"/>
                <w:sz w:val="21"/>
              </w:rPr>
              <w:t>问题一：机理模型与影响规律</w:t>
            </w:r>
          </w:p>
        </w:tc>
      </w:tr>
      <w:tr>
        <w:tc>
          <w:tcPr>
            <w:tcW w:type="dxa" w:w="4536"/>
          </w:tcPr>
          <w:p>
            <w:pPr>
              <w:jc w:val="center"/>
            </w:pPr>
            <w:r/>
            <w:r>
              <w:rPr>
                <w:rFonts w:ascii="宋体" w:hAnsi="宋体" w:eastAsia="宋体"/>
                <w:sz w:val="21"/>
              </w:rPr>
              <w:t>code/q2_model.py</w:t>
            </w:r>
          </w:p>
        </w:tc>
        <w:tc>
          <w:tcPr>
            <w:tcW w:type="dxa" w:w="4536"/>
          </w:tcPr>
          <w:p>
            <w:pPr>
              <w:jc w:val="center"/>
            </w:pPr>
            <w:r/>
            <w:r>
              <w:rPr>
                <w:rFonts w:ascii="宋体" w:hAnsi="宋体" w:eastAsia="宋体"/>
                <w:sz w:val="21"/>
              </w:rPr>
              <w:t>问题二：GPR代理模型训练与评估</w:t>
            </w:r>
          </w:p>
        </w:tc>
      </w:tr>
      <w:tr>
        <w:tc>
          <w:tcPr>
            <w:tcW w:type="dxa" w:w="4536"/>
          </w:tcPr>
          <w:p>
            <w:pPr>
              <w:jc w:val="center"/>
            </w:pPr>
            <w:r/>
            <w:r>
              <w:rPr>
                <w:rFonts w:ascii="宋体" w:hAnsi="宋体" w:eastAsia="宋体"/>
                <w:sz w:val="21"/>
              </w:rPr>
              <w:t>code/q3_model.py</w:t>
            </w:r>
          </w:p>
        </w:tc>
        <w:tc>
          <w:tcPr>
            <w:tcW w:type="dxa" w:w="4536"/>
          </w:tcPr>
          <w:p>
            <w:pPr>
              <w:jc w:val="center"/>
            </w:pPr>
            <w:r/>
            <w:r>
              <w:rPr>
                <w:rFonts w:ascii="宋体" w:hAnsi="宋体" w:eastAsia="宋体"/>
                <w:sz w:val="21"/>
              </w:rPr>
              <w:t>问题三：NSGA-II多目标优化与TOPSIS决策</w:t>
            </w:r>
          </w:p>
        </w:tc>
      </w:tr>
      <w:tr>
        <w:tc>
          <w:tcPr>
            <w:tcW w:type="dxa" w:w="4536"/>
          </w:tcPr>
          <w:p>
            <w:pPr>
              <w:jc w:val="center"/>
            </w:pPr>
            <w:r/>
            <w:r>
              <w:rPr>
                <w:rFonts w:ascii="宋体" w:hAnsi="宋体" w:eastAsia="宋体"/>
                <w:sz w:val="21"/>
              </w:rPr>
              <w:t>code/q4_model.py</w:t>
            </w:r>
          </w:p>
        </w:tc>
        <w:tc>
          <w:tcPr>
            <w:tcW w:type="dxa" w:w="4536"/>
          </w:tcPr>
          <w:p>
            <w:pPr>
              <w:jc w:val="center"/>
            </w:pPr>
            <w:r/>
            <w:r>
              <w:rPr>
                <w:rFonts w:ascii="宋体" w:hAnsi="宋体" w:eastAsia="宋体"/>
                <w:sz w:val="21"/>
              </w:rPr>
              <w:t>问题四：权重扫描与Max-Min鲁棒优化</w:t>
            </w:r>
          </w:p>
        </w:tc>
      </w:tr>
      <w:tr>
        <w:tc>
          <w:tcPr>
            <w:tcW w:type="dxa" w:w="4536"/>
          </w:tcPr>
          <w:p>
            <w:pPr>
              <w:jc w:val="center"/>
            </w:pPr>
            <w:r/>
            <w:r>
              <w:rPr>
                <w:rFonts w:ascii="宋体" w:hAnsi="宋体" w:eastAsia="宋体"/>
                <w:sz w:val="21"/>
              </w:rPr>
              <w:t>code/q5_model.py</w:t>
            </w:r>
          </w:p>
        </w:tc>
        <w:tc>
          <w:tcPr>
            <w:tcW w:type="dxa" w:w="4536"/>
          </w:tcPr>
          <w:p>
            <w:pPr>
              <w:jc w:val="center"/>
            </w:pPr>
            <w:r/>
            <w:r>
              <w:rPr>
                <w:rFonts w:ascii="宋体" w:hAnsi="宋体" w:eastAsia="宋体"/>
                <w:sz w:val="21"/>
              </w:rPr>
              <w:t>问题五：局部弹性/蒙特卡洛/Sobol灵敏度分析</w:t>
            </w:r>
          </w:p>
        </w:tc>
      </w:tr>
      <w:tr>
        <w:tc>
          <w:tcPr>
            <w:tcW w:type="dxa" w:w="4536"/>
          </w:tcPr>
          <w:p>
            <w:pPr>
              <w:jc w:val="center"/>
            </w:pPr>
            <w:r/>
            <w:r>
              <w:rPr>
                <w:rFonts w:ascii="宋体" w:hAnsi="宋体" w:eastAsia="宋体"/>
                <w:sz w:val="21"/>
              </w:rPr>
              <w:t>code/q6_sensitivity.py</w:t>
            </w:r>
          </w:p>
        </w:tc>
        <w:tc>
          <w:tcPr>
            <w:tcW w:type="dxa" w:w="4536"/>
          </w:tcPr>
          <w:p>
            <w:pPr>
              <w:jc w:val="center"/>
            </w:pPr>
            <w:r/>
            <w:r>
              <w:rPr>
                <w:rFonts w:ascii="宋体" w:hAnsi="宋体" w:eastAsia="宋体"/>
                <w:sz w:val="21"/>
              </w:rPr>
              <w:t>灵敏度综合报告生成</w:t>
            </w:r>
          </w:p>
        </w:tc>
      </w:tr>
      <w:tr>
        <w:tc>
          <w:tcPr>
            <w:tcW w:type="dxa" w:w="4536"/>
          </w:tcPr>
          <w:p>
            <w:pPr>
              <w:jc w:val="center"/>
            </w:pPr>
            <w:r/>
            <w:r>
              <w:rPr>
                <w:rFonts w:ascii="宋体" w:hAnsi="宋体" w:eastAsia="宋体"/>
                <w:sz w:val="21"/>
              </w:rPr>
              <w:t>code/q6_verifier.py</w:t>
            </w:r>
          </w:p>
        </w:tc>
        <w:tc>
          <w:tcPr>
            <w:tcW w:type="dxa" w:w="4536"/>
          </w:tcPr>
          <w:p>
            <w:pPr>
              <w:jc w:val="center"/>
            </w:pPr>
            <w:r/>
            <w:r>
              <w:rPr>
                <w:rFonts w:ascii="宋体" w:hAnsi="宋体" w:eastAsia="宋体"/>
                <w:sz w:val="21"/>
              </w:rPr>
              <w:t>灵敏度结果独立复核</w:t>
            </w:r>
          </w:p>
        </w:tc>
      </w:tr>
      <w:tr>
        <w:tc>
          <w:tcPr>
            <w:tcW w:type="dxa" w:w="4536"/>
          </w:tcPr>
          <w:p>
            <w:pPr>
              <w:jc w:val="center"/>
            </w:pPr>
            <w:r/>
            <w:r>
              <w:rPr>
                <w:rFonts w:ascii="宋体" w:hAnsi="宋体" w:eastAsia="宋体"/>
                <w:sz w:val="21"/>
              </w:rPr>
              <w:t>code/route_map.py</w:t>
            </w:r>
          </w:p>
        </w:tc>
        <w:tc>
          <w:tcPr>
            <w:tcW w:type="dxa" w:w="4536"/>
          </w:tcPr>
          <w:p>
            <w:pPr>
              <w:jc w:val="center"/>
            </w:pPr>
            <w:r/>
            <w:r>
              <w:rPr>
                <w:rFonts w:ascii="宋体" w:hAnsi="宋体" w:eastAsia="宋体"/>
                <w:sz w:val="21"/>
              </w:rPr>
              <w:t>求解路线图绘制</w:t>
            </w:r>
          </w:p>
        </w:tc>
      </w:tr>
      <w:tr>
        <w:tc>
          <w:tcPr>
            <w:tcW w:type="dxa" w:w="4536"/>
          </w:tcPr>
          <w:p>
            <w:pPr>
              <w:jc w:val="center"/>
            </w:pPr>
            <w:r/>
            <w:r>
              <w:rPr>
                <w:rFonts w:ascii="宋体" w:hAnsi="宋体" w:eastAsia="宋体"/>
                <w:sz w:val="21"/>
              </w:rPr>
              <w:t>code/run_all.py</w:t>
            </w:r>
          </w:p>
        </w:tc>
        <w:tc>
          <w:tcPr>
            <w:tcW w:type="dxa" w:w="4536"/>
          </w:tcPr>
          <w:p>
            <w:pPr>
              <w:jc w:val="center"/>
            </w:pPr>
            <w:r/>
            <w:r>
              <w:rPr>
                <w:rFonts w:ascii="宋体" w:hAnsi="宋体" w:eastAsia="宋体"/>
                <w:sz w:val="21"/>
              </w:rPr>
              <w:t>一键运行脚本</w:t>
            </w:r>
          </w:p>
        </w:tc>
      </w:tr>
      <w:tr>
        <w:tc>
          <w:tcPr>
            <w:tcW w:type="dxa" w:w="4536"/>
          </w:tcPr>
          <w:p>
            <w:pPr>
              <w:jc w:val="center"/>
            </w:pPr>
            <w:r/>
            <w:r>
              <w:rPr>
                <w:rFonts w:ascii="宋体" w:hAnsi="宋体" w:eastAsia="宋体"/>
                <w:sz w:val="21"/>
              </w:rPr>
              <w:t>results/q1_results.json~q5_results.json</w:t>
            </w:r>
          </w:p>
        </w:tc>
        <w:tc>
          <w:tcPr>
            <w:tcW w:type="dxa" w:w="4536"/>
          </w:tcPr>
          <w:p>
            <w:pPr>
              <w:jc w:val="center"/>
            </w:pPr>
            <w:r/>
            <w:r>
              <w:rPr>
                <w:rFonts w:ascii="宋体" w:hAnsi="宋体" w:eastAsia="宋体"/>
                <w:sz w:val="21"/>
              </w:rPr>
              <w:t>各问求解结果</w:t>
            </w:r>
          </w:p>
        </w:tc>
      </w:tr>
      <w:tr>
        <w:tc>
          <w:tcPr>
            <w:tcW w:type="dxa" w:w="4536"/>
          </w:tcPr>
          <w:p>
            <w:pPr>
              <w:jc w:val="center"/>
            </w:pPr>
            <w:r/>
            <w:r>
              <w:rPr>
                <w:rFonts w:ascii="宋体" w:hAnsi="宋体" w:eastAsia="宋体"/>
                <w:sz w:val="21"/>
              </w:rPr>
              <w:t>results/models/surrogates.joblib</w:t>
            </w:r>
          </w:p>
        </w:tc>
        <w:tc>
          <w:tcPr>
            <w:tcW w:type="dxa" w:w="4536"/>
          </w:tcPr>
          <w:p>
            <w:pPr>
              <w:jc w:val="center"/>
            </w:pPr>
            <w:r/>
            <w:r>
              <w:rPr>
                <w:rFonts w:ascii="宋体" w:hAnsi="宋体" w:eastAsia="宋体"/>
                <w:sz w:val="21"/>
              </w:rPr>
              <w:t>训练好的GPR代理模型</w:t>
            </w:r>
          </w:p>
        </w:tc>
      </w:tr>
      <w:tr>
        <w:tc>
          <w:tcPr>
            <w:tcW w:type="dxa" w:w="4536"/>
          </w:tcPr>
          <w:p>
            <w:pPr>
              <w:jc w:val="center"/>
            </w:pPr>
            <w:r/>
            <w:r>
              <w:rPr>
                <w:rFonts w:ascii="宋体" w:hAnsi="宋体" w:eastAsia="宋体"/>
                <w:sz w:val="21"/>
              </w:rPr>
              <w:t>results/figures/*.png（*.pdf）</w:t>
            </w:r>
          </w:p>
        </w:tc>
        <w:tc>
          <w:tcPr>
            <w:tcW w:type="dxa" w:w="4536"/>
          </w:tcPr>
          <w:p>
            <w:pPr>
              <w:jc w:val="center"/>
            </w:pPr>
            <w:r/>
            <w:r>
              <w:rPr>
                <w:rFonts w:ascii="宋体" w:hAnsi="宋体" w:eastAsia="宋体"/>
                <w:sz w:val="21"/>
              </w:rPr>
              <w:t>论文图表</w:t>
            </w:r>
          </w:p>
        </w:tc>
      </w:tr>
    </w:tbl>
    <w:p>
      <w:pPr>
        <w:spacing w:before="160" w:after="120"/>
      </w:pPr>
      <w:r>
        <w:rPr>
          <w:rFonts w:ascii="黑体" w:hAnsi="黑体" w:eastAsia="黑体"/>
          <w:b/>
          <w:sz w:val="28"/>
        </w:rPr>
        <w:t>附录B 源代码清单</w:t>
      </w:r>
    </w:p>
    <w:p>
      <w:pPr>
        <w:spacing w:after="120" w:line="360" w:lineRule="auto"/>
        <w:ind w:firstLine="420"/>
      </w:pPr>
      <w:r>
        <w:rPr>
          <w:rFonts w:ascii="宋体" w:hAnsi="宋体" w:eastAsia="宋体"/>
          <w:b w:val="0"/>
          <w:sz w:val="24"/>
        </w:rPr>
        <w:t>完整源代码位于 `code/` 目录，运行方式为 `python code/run_all.py`，可自动依次运行全部脚本。各脚本均含中文注释并固定随机种子，保证结果可复现。各文件作用及AI使用情况说明如下。</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3024"/>
        <w:gridCol w:w="3024"/>
        <w:gridCol w:w="3024"/>
      </w:tblGrid>
      <w:tr>
        <w:tc>
          <w:tcPr>
            <w:tcW w:type="dxa" w:w="3024"/>
            <w:tcBorders>
              <w:bottom w:val="single" w:sz="6" w:color="000000"/>
            </w:tcBorders>
          </w:tcPr>
          <w:p>
            <w:pPr>
              <w:jc w:val="center"/>
            </w:pPr>
            <w:r/>
            <w:r>
              <w:rPr>
                <w:rFonts w:ascii="宋体" w:hAnsi="宋体" w:eastAsia="宋体"/>
                <w:b/>
                <w:sz w:val="21"/>
              </w:rPr>
              <w:t>文件</w:t>
            </w:r>
          </w:p>
        </w:tc>
        <w:tc>
          <w:tcPr>
            <w:tcW w:type="dxa" w:w="3024"/>
            <w:tcBorders>
              <w:bottom w:val="single" w:sz="6" w:color="000000"/>
            </w:tcBorders>
          </w:tcPr>
          <w:p>
            <w:pPr>
              <w:jc w:val="center"/>
            </w:pPr>
            <w:r/>
            <w:r>
              <w:rPr>
                <w:rFonts w:ascii="宋体" w:hAnsi="宋体" w:eastAsia="宋体"/>
                <w:b/>
                <w:sz w:val="21"/>
              </w:rPr>
              <w:t>作用</w:t>
            </w:r>
          </w:p>
        </w:tc>
        <w:tc>
          <w:tcPr>
            <w:tcW w:type="dxa" w:w="3024"/>
            <w:tcBorders>
              <w:bottom w:val="single" w:sz="6" w:color="000000"/>
            </w:tcBorders>
          </w:tcPr>
          <w:p>
            <w:pPr>
              <w:jc w:val="center"/>
            </w:pPr>
            <w:r/>
            <w:r>
              <w:rPr>
                <w:rFonts w:ascii="宋体" w:hAnsi="宋体" w:eastAsia="宋体"/>
                <w:b/>
                <w:sz w:val="21"/>
              </w:rPr>
              <w:t>是否AI生成</w:t>
            </w:r>
          </w:p>
        </w:tc>
      </w:tr>
      <w:tr>
        <w:tc>
          <w:tcPr>
            <w:tcW w:type="dxa" w:w="3024"/>
          </w:tcPr>
          <w:p>
            <w:pPr>
              <w:jc w:val="center"/>
            </w:pPr>
            <w:r/>
            <w:r>
              <w:rPr>
                <w:rFonts w:ascii="宋体" w:hAnsi="宋体" w:eastAsia="宋体"/>
                <w:sz w:val="21"/>
              </w:rPr>
              <w:t>data_loader.py</w:t>
            </w:r>
          </w:p>
        </w:tc>
        <w:tc>
          <w:tcPr>
            <w:tcW w:type="dxa" w:w="3024"/>
          </w:tcPr>
          <w:p>
            <w:pPr>
              <w:jc w:val="center"/>
            </w:pPr>
            <w:r/>
            <w:r>
              <w:rPr>
                <w:rFonts w:ascii="宋体" w:hAnsi="宋体" w:eastAsia="宋体"/>
                <w:sz w:val="21"/>
              </w:rPr>
              <w:t>读取附件2，统一列名并做类型安全清洗</w:t>
            </w:r>
          </w:p>
        </w:tc>
        <w:tc>
          <w:tcPr>
            <w:tcW w:type="dxa" w:w="3024"/>
          </w:tcPr>
          <w:p>
            <w:pPr>
              <w:jc w:val="center"/>
            </w:pPr>
            <w:r/>
            <w:r>
              <w:rPr>
                <w:rFonts w:ascii="宋体" w:hAnsi="宋体" w:eastAsia="宋体"/>
                <w:sz w:val="21"/>
              </w:rPr>
              <w:t>是（经人工审查修改）</w:t>
            </w:r>
          </w:p>
        </w:tc>
      </w:tr>
      <w:tr>
        <w:tc>
          <w:tcPr>
            <w:tcW w:type="dxa" w:w="3024"/>
          </w:tcPr>
          <w:p>
            <w:pPr>
              <w:jc w:val="center"/>
            </w:pPr>
            <w:r/>
            <w:r>
              <w:rPr>
                <w:rFonts w:ascii="宋体" w:hAnsi="宋体" w:eastAsia="宋体"/>
                <w:sz w:val="21"/>
              </w:rPr>
              <w:t>eda.py</w:t>
            </w:r>
          </w:p>
        </w:tc>
        <w:tc>
          <w:tcPr>
            <w:tcW w:type="dxa" w:w="3024"/>
          </w:tcPr>
          <w:p>
            <w:pPr>
              <w:jc w:val="center"/>
            </w:pPr>
            <w:r/>
            <w:r>
              <w:rPr>
                <w:rFonts w:ascii="宋体" w:hAnsi="宋体" w:eastAsia="宋体"/>
                <w:sz w:val="21"/>
              </w:rPr>
              <w:t>探索性数据分析，生成相关性/分布图</w:t>
            </w:r>
          </w:p>
        </w:tc>
        <w:tc>
          <w:tcPr>
            <w:tcW w:type="dxa" w:w="3024"/>
          </w:tcPr>
          <w:p>
            <w:pPr>
              <w:jc w:val="center"/>
            </w:pPr>
            <w:r/>
            <w:r>
              <w:rPr>
                <w:rFonts w:ascii="宋体" w:hAnsi="宋体" w:eastAsia="宋体"/>
                <w:sz w:val="21"/>
              </w:rPr>
              <w:t>是（经人工审查修改）</w:t>
            </w:r>
          </w:p>
        </w:tc>
      </w:tr>
      <w:tr>
        <w:tc>
          <w:tcPr>
            <w:tcW w:type="dxa" w:w="3024"/>
          </w:tcPr>
          <w:p>
            <w:pPr>
              <w:jc w:val="center"/>
            </w:pPr>
            <w:r/>
            <w:r>
              <w:rPr>
                <w:rFonts w:ascii="宋体" w:hAnsi="宋体" w:eastAsia="宋体"/>
                <w:sz w:val="21"/>
              </w:rPr>
              <w:t>surrogate.py</w:t>
            </w:r>
          </w:p>
        </w:tc>
        <w:tc>
          <w:tcPr>
            <w:tcW w:type="dxa" w:w="3024"/>
          </w:tcPr>
          <w:p>
            <w:pPr>
              <w:jc w:val="center"/>
            </w:pPr>
            <w:r/>
            <w:r>
              <w:rPr>
                <w:rFonts w:ascii="宋体" w:hAnsi="宋体" w:eastAsia="宋体"/>
                <w:sz w:val="21"/>
              </w:rPr>
              <w:t>GPR与多项式、随机森林代理模型通用封装</w:t>
            </w:r>
          </w:p>
        </w:tc>
        <w:tc>
          <w:tcPr>
            <w:tcW w:type="dxa" w:w="3024"/>
          </w:tcPr>
          <w:p>
            <w:pPr>
              <w:jc w:val="center"/>
            </w:pPr>
            <w:r/>
            <w:r>
              <w:rPr>
                <w:rFonts w:ascii="宋体" w:hAnsi="宋体" w:eastAsia="宋体"/>
                <w:sz w:val="21"/>
              </w:rPr>
              <w:t>是（经人工审查修改）</w:t>
            </w:r>
          </w:p>
        </w:tc>
      </w:tr>
      <w:tr>
        <w:tc>
          <w:tcPr>
            <w:tcW w:type="dxa" w:w="3024"/>
          </w:tcPr>
          <w:p>
            <w:pPr>
              <w:jc w:val="center"/>
            </w:pPr>
            <w:r/>
            <w:r>
              <w:rPr>
                <w:rFonts w:ascii="宋体" w:hAnsi="宋体" w:eastAsia="宋体"/>
                <w:sz w:val="21"/>
              </w:rPr>
              <w:t>utils.py</w:t>
            </w:r>
          </w:p>
        </w:tc>
        <w:tc>
          <w:tcPr>
            <w:tcW w:type="dxa" w:w="3024"/>
          </w:tcPr>
          <w:p>
            <w:pPr>
              <w:jc w:val="center"/>
            </w:pPr>
            <w:r/>
            <w:r>
              <w:rPr>
                <w:rFonts w:ascii="宋体" w:hAnsi="宋体" w:eastAsia="宋体"/>
                <w:sz w:val="21"/>
              </w:rPr>
              <w:t>标准化/归一化/交叉验证等工具函数</w:t>
            </w:r>
          </w:p>
        </w:tc>
        <w:tc>
          <w:tcPr>
            <w:tcW w:type="dxa" w:w="3024"/>
          </w:tcPr>
          <w:p>
            <w:pPr>
              <w:jc w:val="center"/>
            </w:pPr>
            <w:r/>
            <w:r>
              <w:rPr>
                <w:rFonts w:ascii="宋体" w:hAnsi="宋体" w:eastAsia="宋体"/>
                <w:sz w:val="21"/>
              </w:rPr>
              <w:t>是（经人工审查修改）</w:t>
            </w:r>
          </w:p>
        </w:tc>
      </w:tr>
      <w:tr>
        <w:tc>
          <w:tcPr>
            <w:tcW w:type="dxa" w:w="3024"/>
          </w:tcPr>
          <w:p>
            <w:pPr>
              <w:jc w:val="center"/>
            </w:pPr>
            <w:r/>
            <w:r>
              <w:rPr>
                <w:rFonts w:ascii="宋体" w:hAnsi="宋体" w:eastAsia="宋体"/>
                <w:sz w:val="21"/>
              </w:rPr>
              <w:t>q1_model.py</w:t>
            </w:r>
          </w:p>
        </w:tc>
        <w:tc>
          <w:tcPr>
            <w:tcW w:type="dxa" w:w="3024"/>
          </w:tcPr>
          <w:p>
            <w:pPr>
              <w:jc w:val="center"/>
            </w:pPr>
            <w:r/>
            <w:r>
              <w:rPr>
                <w:rFonts w:ascii="宋体" w:hAnsi="宋体" w:eastAsia="宋体"/>
                <w:sz w:val="21"/>
              </w:rPr>
              <w:t>问题一机理模型拟合与影响规律分析</w:t>
            </w:r>
          </w:p>
        </w:tc>
        <w:tc>
          <w:tcPr>
            <w:tcW w:type="dxa" w:w="3024"/>
          </w:tcPr>
          <w:p>
            <w:pPr>
              <w:jc w:val="center"/>
            </w:pPr>
            <w:r/>
            <w:r>
              <w:rPr>
                <w:rFonts w:ascii="宋体" w:hAnsi="宋体" w:eastAsia="宋体"/>
                <w:sz w:val="21"/>
              </w:rPr>
              <w:t>是（经人工审查修改）</w:t>
            </w:r>
          </w:p>
        </w:tc>
      </w:tr>
      <w:tr>
        <w:tc>
          <w:tcPr>
            <w:tcW w:type="dxa" w:w="3024"/>
          </w:tcPr>
          <w:p>
            <w:pPr>
              <w:jc w:val="center"/>
            </w:pPr>
            <w:r/>
            <w:r>
              <w:rPr>
                <w:rFonts w:ascii="宋体" w:hAnsi="宋体" w:eastAsia="宋体"/>
                <w:sz w:val="21"/>
              </w:rPr>
              <w:t>q2_model.py</w:t>
            </w:r>
          </w:p>
        </w:tc>
        <w:tc>
          <w:tcPr>
            <w:tcW w:type="dxa" w:w="3024"/>
          </w:tcPr>
          <w:p>
            <w:pPr>
              <w:jc w:val="center"/>
            </w:pPr>
            <w:r/>
            <w:r>
              <w:rPr>
                <w:rFonts w:ascii="宋体" w:hAnsi="宋体" w:eastAsia="宋体"/>
                <w:sz w:val="21"/>
              </w:rPr>
              <w:t>问题二GPR代理模型训练与5折/留一交叉验证</w:t>
            </w:r>
          </w:p>
        </w:tc>
        <w:tc>
          <w:tcPr>
            <w:tcW w:type="dxa" w:w="3024"/>
          </w:tcPr>
          <w:p>
            <w:pPr>
              <w:jc w:val="center"/>
            </w:pPr>
            <w:r/>
            <w:r>
              <w:rPr>
                <w:rFonts w:ascii="宋体" w:hAnsi="宋体" w:eastAsia="宋体"/>
                <w:sz w:val="21"/>
              </w:rPr>
              <w:t>是（经人工审查修改）</w:t>
            </w:r>
          </w:p>
        </w:tc>
      </w:tr>
      <w:tr>
        <w:tc>
          <w:tcPr>
            <w:tcW w:type="dxa" w:w="3024"/>
          </w:tcPr>
          <w:p>
            <w:pPr>
              <w:jc w:val="center"/>
            </w:pPr>
            <w:r/>
            <w:r>
              <w:rPr>
                <w:rFonts w:ascii="宋体" w:hAnsi="宋体" w:eastAsia="宋体"/>
                <w:sz w:val="21"/>
              </w:rPr>
              <w:t>q3_model.py</w:t>
            </w:r>
          </w:p>
        </w:tc>
        <w:tc>
          <w:tcPr>
            <w:tcW w:type="dxa" w:w="3024"/>
          </w:tcPr>
          <w:p>
            <w:pPr>
              <w:jc w:val="center"/>
            </w:pPr>
            <w:r/>
            <w:r>
              <w:rPr>
                <w:rFonts w:ascii="宋体" w:hAnsi="宋体" w:eastAsia="宋体"/>
                <w:sz w:val="21"/>
              </w:rPr>
              <w:t>问题三NSGA-II寻优、熵权TOPSIS与多路线交叉验证</w:t>
            </w:r>
          </w:p>
        </w:tc>
        <w:tc>
          <w:tcPr>
            <w:tcW w:type="dxa" w:w="3024"/>
          </w:tcPr>
          <w:p>
            <w:pPr>
              <w:jc w:val="center"/>
            </w:pPr>
            <w:r/>
            <w:r>
              <w:rPr>
                <w:rFonts w:ascii="宋体" w:hAnsi="宋体" w:eastAsia="宋体"/>
                <w:sz w:val="21"/>
              </w:rPr>
              <w:t>是（经人工审查修改）</w:t>
            </w:r>
          </w:p>
        </w:tc>
      </w:tr>
      <w:tr>
        <w:tc>
          <w:tcPr>
            <w:tcW w:type="dxa" w:w="3024"/>
          </w:tcPr>
          <w:p>
            <w:pPr>
              <w:jc w:val="center"/>
            </w:pPr>
            <w:r/>
            <w:r>
              <w:rPr>
                <w:rFonts w:ascii="宋体" w:hAnsi="宋体" w:eastAsia="宋体"/>
                <w:sz w:val="21"/>
              </w:rPr>
              <w:t>q4_model.py</w:t>
            </w:r>
          </w:p>
        </w:tc>
        <w:tc>
          <w:tcPr>
            <w:tcW w:type="dxa" w:w="3024"/>
          </w:tcPr>
          <w:p>
            <w:pPr>
              <w:jc w:val="center"/>
            </w:pPr>
            <w:r/>
            <w:r>
              <w:rPr>
                <w:rFonts w:ascii="宋体" w:hAnsi="宋体" w:eastAsia="宋体"/>
                <w:sz w:val="21"/>
              </w:rPr>
              <w:t>问题四权重扫描与Max-Min鲁棒优化</w:t>
            </w:r>
          </w:p>
        </w:tc>
        <w:tc>
          <w:tcPr>
            <w:tcW w:type="dxa" w:w="3024"/>
          </w:tcPr>
          <w:p>
            <w:pPr>
              <w:jc w:val="center"/>
            </w:pPr>
            <w:r/>
            <w:r>
              <w:rPr>
                <w:rFonts w:ascii="宋体" w:hAnsi="宋体" w:eastAsia="宋体"/>
                <w:sz w:val="21"/>
              </w:rPr>
              <w:t>是（经人工审查修改）</w:t>
            </w:r>
          </w:p>
        </w:tc>
      </w:tr>
      <w:tr>
        <w:tc>
          <w:tcPr>
            <w:tcW w:type="dxa" w:w="3024"/>
          </w:tcPr>
          <w:p>
            <w:pPr>
              <w:jc w:val="center"/>
            </w:pPr>
            <w:r/>
            <w:r>
              <w:rPr>
                <w:rFonts w:ascii="宋体" w:hAnsi="宋体" w:eastAsia="宋体"/>
                <w:sz w:val="21"/>
              </w:rPr>
              <w:t>q5_model.py</w:t>
            </w:r>
          </w:p>
        </w:tc>
        <w:tc>
          <w:tcPr>
            <w:tcW w:type="dxa" w:w="3024"/>
          </w:tcPr>
          <w:p>
            <w:pPr>
              <w:jc w:val="center"/>
            </w:pPr>
            <w:r/>
            <w:r>
              <w:rPr>
                <w:rFonts w:ascii="宋体" w:hAnsi="宋体" w:eastAsia="宋体"/>
                <w:sz w:val="21"/>
              </w:rPr>
              <w:t>问题五局部弹性/双源蒙特卡洛/Sobol分析</w:t>
            </w:r>
          </w:p>
        </w:tc>
        <w:tc>
          <w:tcPr>
            <w:tcW w:type="dxa" w:w="3024"/>
          </w:tcPr>
          <w:p>
            <w:pPr>
              <w:jc w:val="center"/>
            </w:pPr>
            <w:r/>
            <w:r>
              <w:rPr>
                <w:rFonts w:ascii="宋体" w:hAnsi="宋体" w:eastAsia="宋体"/>
                <w:sz w:val="21"/>
              </w:rPr>
              <w:t>是（经人工审查修改）</w:t>
            </w:r>
          </w:p>
        </w:tc>
      </w:tr>
      <w:tr>
        <w:tc>
          <w:tcPr>
            <w:tcW w:type="dxa" w:w="3024"/>
          </w:tcPr>
          <w:p>
            <w:pPr>
              <w:jc w:val="center"/>
            </w:pPr>
            <w:r/>
            <w:r>
              <w:rPr>
                <w:rFonts w:ascii="宋体" w:hAnsi="宋体" w:eastAsia="宋体"/>
                <w:sz w:val="21"/>
              </w:rPr>
              <w:t>q6_sensitivity.py</w:t>
            </w:r>
          </w:p>
        </w:tc>
        <w:tc>
          <w:tcPr>
            <w:tcW w:type="dxa" w:w="3024"/>
          </w:tcPr>
          <w:p>
            <w:pPr>
              <w:jc w:val="center"/>
            </w:pPr>
            <w:r/>
            <w:r>
              <w:rPr>
                <w:rFonts w:ascii="宋体" w:hAnsi="宋体" w:eastAsia="宋体"/>
                <w:sz w:val="21"/>
              </w:rPr>
              <w:t>生成灵敏度综合报告</w:t>
            </w:r>
          </w:p>
        </w:tc>
        <w:tc>
          <w:tcPr>
            <w:tcW w:type="dxa" w:w="3024"/>
          </w:tcPr>
          <w:p>
            <w:pPr>
              <w:jc w:val="center"/>
            </w:pPr>
            <w:r/>
            <w:r>
              <w:rPr>
                <w:rFonts w:ascii="宋体" w:hAnsi="宋体" w:eastAsia="宋体"/>
                <w:sz w:val="21"/>
              </w:rPr>
              <w:t>是（经人工审查修改）</w:t>
            </w:r>
          </w:p>
        </w:tc>
      </w:tr>
      <w:tr>
        <w:tc>
          <w:tcPr>
            <w:tcW w:type="dxa" w:w="3024"/>
          </w:tcPr>
          <w:p>
            <w:pPr>
              <w:jc w:val="center"/>
            </w:pPr>
            <w:r/>
            <w:r>
              <w:rPr>
                <w:rFonts w:ascii="宋体" w:hAnsi="宋体" w:eastAsia="宋体"/>
                <w:sz w:val="21"/>
              </w:rPr>
              <w:t>q6_verifier.py</w:t>
            </w:r>
          </w:p>
        </w:tc>
        <w:tc>
          <w:tcPr>
            <w:tcW w:type="dxa" w:w="3024"/>
          </w:tcPr>
          <w:p>
            <w:pPr>
              <w:jc w:val="center"/>
            </w:pPr>
            <w:r/>
            <w:r>
              <w:rPr>
                <w:rFonts w:ascii="宋体" w:hAnsi="宋体" w:eastAsia="宋体"/>
                <w:sz w:val="21"/>
              </w:rPr>
              <w:t>对灵敏度结论独立复核</w:t>
            </w:r>
          </w:p>
        </w:tc>
        <w:tc>
          <w:tcPr>
            <w:tcW w:type="dxa" w:w="3024"/>
          </w:tcPr>
          <w:p>
            <w:pPr>
              <w:jc w:val="center"/>
            </w:pPr>
            <w:r/>
            <w:r>
              <w:rPr>
                <w:rFonts w:ascii="宋体" w:hAnsi="宋体" w:eastAsia="宋体"/>
                <w:sz w:val="21"/>
              </w:rPr>
              <w:t>是（经人工审查修改）</w:t>
            </w:r>
          </w:p>
        </w:tc>
      </w:tr>
      <w:tr>
        <w:tc>
          <w:tcPr>
            <w:tcW w:type="dxa" w:w="3024"/>
          </w:tcPr>
          <w:p>
            <w:pPr>
              <w:jc w:val="center"/>
            </w:pPr>
            <w:r/>
            <w:r>
              <w:rPr>
                <w:rFonts w:ascii="宋体" w:hAnsi="宋体" w:eastAsia="宋体"/>
                <w:sz w:val="21"/>
              </w:rPr>
              <w:t>route_map.py</w:t>
            </w:r>
          </w:p>
        </w:tc>
        <w:tc>
          <w:tcPr>
            <w:tcW w:type="dxa" w:w="3024"/>
          </w:tcPr>
          <w:p>
            <w:pPr>
              <w:jc w:val="center"/>
            </w:pPr>
            <w:r/>
            <w:r>
              <w:rPr>
                <w:rFonts w:ascii="宋体" w:hAnsi="宋体" w:eastAsia="宋体"/>
                <w:sz w:val="21"/>
              </w:rPr>
              <w:t>绘制求解总技术路线图</w:t>
            </w:r>
          </w:p>
        </w:tc>
        <w:tc>
          <w:tcPr>
            <w:tcW w:type="dxa" w:w="3024"/>
          </w:tcPr>
          <w:p>
            <w:pPr>
              <w:jc w:val="center"/>
            </w:pPr>
            <w:r/>
            <w:r>
              <w:rPr>
                <w:rFonts w:ascii="宋体" w:hAnsi="宋体" w:eastAsia="宋体"/>
                <w:sz w:val="21"/>
              </w:rPr>
              <w:t>是（经人工审查修改）</w:t>
            </w:r>
          </w:p>
        </w:tc>
      </w:tr>
      <w:tr>
        <w:tc>
          <w:tcPr>
            <w:tcW w:type="dxa" w:w="3024"/>
          </w:tcPr>
          <w:p>
            <w:pPr>
              <w:jc w:val="center"/>
            </w:pPr>
            <w:r/>
            <w:r>
              <w:rPr>
                <w:rFonts w:ascii="宋体" w:hAnsi="宋体" w:eastAsia="宋体"/>
                <w:sz w:val="21"/>
              </w:rPr>
              <w:t>run_all.py</w:t>
            </w:r>
          </w:p>
        </w:tc>
        <w:tc>
          <w:tcPr>
            <w:tcW w:type="dxa" w:w="3024"/>
          </w:tcPr>
          <w:p>
            <w:pPr>
              <w:jc w:val="center"/>
            </w:pPr>
            <w:r/>
            <w:r>
              <w:rPr>
                <w:rFonts w:ascii="宋体" w:hAnsi="宋体" w:eastAsia="宋体"/>
                <w:sz w:val="21"/>
              </w:rPr>
              <w:t>一键依次运行全部脚本</w:t>
            </w:r>
          </w:p>
        </w:tc>
        <w:tc>
          <w:tcPr>
            <w:tcW w:type="dxa" w:w="3024"/>
          </w:tcPr>
          <w:p>
            <w:pPr>
              <w:jc w:val="center"/>
            </w:pPr>
            <w:r/>
            <w:r>
              <w:rPr>
                <w:rFonts w:ascii="宋体" w:hAnsi="宋体" w:eastAsia="宋体"/>
                <w:sz w:val="21"/>
              </w:rPr>
              <w:t>是（经人工审查修改）</w:t>
            </w:r>
          </w:p>
        </w:tc>
      </w:tr>
    </w:tbl>
    <w:p>
      <w:pPr>
        <w:spacing w:before="160" w:after="120"/>
      </w:pPr>
      <w:r>
        <w:rPr>
          <w:rFonts w:ascii="黑体" w:hAnsi="黑体" w:eastAsia="黑体"/>
          <w:b/>
          <w:sz w:val="28"/>
        </w:rPr>
        <w:t>附录C AI工具使用详情</w:t>
      </w:r>
    </w:p>
    <w:p>
      <w:pPr>
        <w:spacing w:after="120" w:line="360" w:lineRule="auto"/>
        <w:ind w:firstLine="420"/>
      </w:pPr>
      <w:r>
        <w:rPr>
          <w:rFonts w:ascii="宋体" w:hAnsi="宋体" w:eastAsia="宋体"/>
          <w:b w:val="0"/>
          <w:sz w:val="24"/>
        </w:rPr>
        <w:t>《AI工具使用详情》（Markdown格式，随支撑材料一并提交）内容包括所用AI工具名称与版本、具体使用目的和环节、关键交互记录（重要提示词与回复）以及采纳和人工修改情况。本论文所用AI辅助工具已在参考文献[12]中列出。</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