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24AA" w14:textId="66D8438F" w:rsidR="007C5CD6" w:rsidRDefault="007C5CD6" w:rsidP="007C5CD6">
      <w:pPr>
        <w:rPr>
          <w:rFonts w:hint="eastAsia"/>
        </w:rPr>
      </w:pPr>
      <w:r>
        <w:rPr>
          <w:rFonts w:hint="eastAsia"/>
        </w:rPr>
        <w:t>Host</w:t>
      </w:r>
      <w:r w:rsidRPr="007C5CD6">
        <w:t>-Context Validation Based on the Source Article</w:t>
      </w:r>
    </w:p>
    <w:p w14:paraId="24CC1EB5" w14:textId="77777777" w:rsidR="007C5CD6" w:rsidRDefault="007C5CD6" w:rsidP="007C5CD6"/>
    <w:p w14:paraId="6A992BA4" w14:textId="12E636AC" w:rsidR="007C5CD6" w:rsidRPr="007C5CD6" w:rsidRDefault="007C5CD6" w:rsidP="007C5CD6">
      <w:r w:rsidRPr="007C5CD6">
        <w:t xml:space="preserve">To further evaluate the biological plausibility of this taxonomic assignment, the original study from which the sequencing data were derived was examined. The viral contig originates from dataset SRR5368803, part of a swine </w:t>
      </w:r>
      <w:proofErr w:type="spellStart"/>
      <w:r w:rsidRPr="007C5CD6">
        <w:t>fecal</w:t>
      </w:r>
      <w:proofErr w:type="spellEnd"/>
      <w:r w:rsidRPr="007C5CD6">
        <w:t xml:space="preserve"> metagenomic experiment described by Looft et al. (2014), which investigated the effects of carbadox treatment on the </w:t>
      </w:r>
      <w:r w:rsidRPr="007C5CD6">
        <w:rPr>
          <w:b/>
          <w:bCs/>
        </w:rPr>
        <w:t>swine gut microbiota</w:t>
      </w:r>
      <w:r w:rsidRPr="007C5CD6">
        <w:t xml:space="preserve">. According to the article, both DNA and RNA were extracted from </w:t>
      </w:r>
      <w:r w:rsidRPr="007C5CD6">
        <w:rPr>
          <w:b/>
          <w:bCs/>
        </w:rPr>
        <w:t xml:space="preserve">pig </w:t>
      </w:r>
      <w:proofErr w:type="spellStart"/>
      <w:r w:rsidRPr="007C5CD6">
        <w:rPr>
          <w:b/>
          <w:bCs/>
        </w:rPr>
        <w:t>fecal</w:t>
      </w:r>
      <w:proofErr w:type="spellEnd"/>
      <w:r w:rsidRPr="007C5CD6">
        <w:rPr>
          <w:b/>
          <w:bCs/>
        </w:rPr>
        <w:t xml:space="preserve"> samples</w:t>
      </w:r>
      <w:r w:rsidRPr="007C5CD6">
        <w:t xml:space="preserve">, and the resulting metagenomes reflect the total microbial community present in the gastrointestinal tract, including bacteria, fungi, and protists. </w:t>
      </w:r>
    </w:p>
    <w:p w14:paraId="112C255F" w14:textId="77777777" w:rsidR="007C5CD6" w:rsidRPr="007C5CD6" w:rsidRDefault="007C5CD6" w:rsidP="007C5CD6">
      <w:r w:rsidRPr="007C5CD6">
        <w:t xml:space="preserve">While the study itself focuses on bacterial dynamics, the swine gut environment is well-established to </w:t>
      </w:r>
      <w:proofErr w:type="spellStart"/>
      <w:r w:rsidRPr="007C5CD6">
        <w:t>harbor</w:t>
      </w:r>
      <w:proofErr w:type="spellEnd"/>
      <w:r w:rsidRPr="007C5CD6">
        <w:t xml:space="preserve"> diverse </w:t>
      </w:r>
      <w:r w:rsidRPr="007C5CD6">
        <w:rPr>
          <w:b/>
          <w:bCs/>
        </w:rPr>
        <w:t>fungal communities</w:t>
      </w:r>
      <w:r w:rsidRPr="007C5CD6">
        <w:t xml:space="preserve">, including yeasts and anaerobic fungi, which serve as natural hosts for </w:t>
      </w:r>
      <w:proofErr w:type="spellStart"/>
      <w:r w:rsidRPr="007C5CD6">
        <w:t>Narnaviridae</w:t>
      </w:r>
      <w:proofErr w:type="spellEnd"/>
      <w:r w:rsidRPr="007C5CD6">
        <w:t xml:space="preserve">. Because </w:t>
      </w:r>
      <w:proofErr w:type="spellStart"/>
      <w:r w:rsidRPr="007C5CD6">
        <w:t>narnaviruses</w:t>
      </w:r>
      <w:proofErr w:type="spellEnd"/>
      <w:r w:rsidRPr="007C5CD6">
        <w:t xml:space="preserve"> and </w:t>
      </w:r>
      <w:proofErr w:type="spellStart"/>
      <w:r w:rsidRPr="007C5CD6">
        <w:t>mitoviruses</w:t>
      </w:r>
      <w:proofErr w:type="spellEnd"/>
      <w:r w:rsidRPr="007C5CD6">
        <w:t xml:space="preserve"> infect </w:t>
      </w:r>
      <w:r w:rsidRPr="007C5CD6">
        <w:rPr>
          <w:b/>
          <w:bCs/>
        </w:rPr>
        <w:t>fungi or protists</w:t>
      </w:r>
      <w:r w:rsidRPr="007C5CD6">
        <w:t xml:space="preserve">, not vertebrate animals, the detection of their </w:t>
      </w:r>
      <w:proofErr w:type="spellStart"/>
      <w:r w:rsidRPr="007C5CD6">
        <w:t>RdRp</w:t>
      </w:r>
      <w:proofErr w:type="spellEnd"/>
      <w:r w:rsidRPr="007C5CD6">
        <w:t xml:space="preserve"> sequences in </w:t>
      </w:r>
      <w:proofErr w:type="spellStart"/>
      <w:r w:rsidRPr="007C5CD6">
        <w:t>fecal</w:t>
      </w:r>
      <w:proofErr w:type="spellEnd"/>
      <w:r w:rsidRPr="007C5CD6">
        <w:t xml:space="preserve"> metagenomes is consistent with infection of </w:t>
      </w:r>
      <w:r w:rsidRPr="007C5CD6">
        <w:rPr>
          <w:b/>
          <w:bCs/>
        </w:rPr>
        <w:t>fungal members of the gut microbiome</w:t>
      </w:r>
      <w:r w:rsidRPr="007C5CD6">
        <w:t xml:space="preserve">, rather than pigs themselves. This interpretation aligns with typical ecological patterns of </w:t>
      </w:r>
      <w:proofErr w:type="spellStart"/>
      <w:r w:rsidRPr="007C5CD6">
        <w:t>narnaviruses</w:t>
      </w:r>
      <w:proofErr w:type="spellEnd"/>
      <w:r w:rsidRPr="007C5CD6">
        <w:t xml:space="preserve">, which are frequently recovered as </w:t>
      </w:r>
      <w:proofErr w:type="spellStart"/>
      <w:r w:rsidRPr="007C5CD6">
        <w:t>unencapsidated</w:t>
      </w:r>
      <w:proofErr w:type="spellEnd"/>
      <w:r w:rsidRPr="007C5CD6">
        <w:t xml:space="preserve"> RNA replicons in environmental or gut-associated microbial communities.</w:t>
      </w:r>
    </w:p>
    <w:p w14:paraId="65A26B7A" w14:textId="77777777" w:rsidR="007C5CD6" w:rsidRPr="007C5CD6" w:rsidRDefault="007C5CD6" w:rsidP="007C5CD6">
      <w:r w:rsidRPr="007C5CD6">
        <w:t xml:space="preserve">Furthermore, the article reports no unusual expansion or phage-associated restructuring of </w:t>
      </w:r>
      <w:r w:rsidRPr="007C5CD6">
        <w:rPr>
          <w:i/>
          <w:iCs/>
        </w:rPr>
        <w:t>E. coli</w:t>
      </w:r>
      <w:r w:rsidRPr="007C5CD6">
        <w:t xml:space="preserve"> or other bacterial populations during the sampling period, which would be expected if a strong </w:t>
      </w:r>
      <w:proofErr w:type="spellStart"/>
      <w:r w:rsidRPr="007C5CD6">
        <w:rPr>
          <w:b/>
          <w:bCs/>
        </w:rPr>
        <w:t>Leviviridae</w:t>
      </w:r>
      <w:proofErr w:type="spellEnd"/>
      <w:r w:rsidRPr="007C5CD6">
        <w:rPr>
          <w:b/>
          <w:bCs/>
        </w:rPr>
        <w:t xml:space="preserve"> (bacteriophage)</w:t>
      </w:r>
      <w:r w:rsidRPr="007C5CD6">
        <w:t xml:space="preserve"> signal were present. The absence of such signatures, as well as the lack of capsid, lysis, or maturation protein ORFs in the contig, reinforces that the virus is </w:t>
      </w:r>
      <w:r w:rsidRPr="007C5CD6">
        <w:rPr>
          <w:b/>
          <w:bCs/>
        </w:rPr>
        <w:t>not</w:t>
      </w:r>
      <w:r w:rsidRPr="007C5CD6">
        <w:t xml:space="preserve"> a </w:t>
      </w:r>
      <w:proofErr w:type="spellStart"/>
      <w:r w:rsidRPr="007C5CD6">
        <w:t>Leviviridae</w:t>
      </w:r>
      <w:proofErr w:type="spellEnd"/>
      <w:r w:rsidRPr="007C5CD6">
        <w:t xml:space="preserve"> bacteriophage.</w:t>
      </w:r>
    </w:p>
    <w:p w14:paraId="2302097A" w14:textId="77777777" w:rsidR="007C5CD6" w:rsidRPr="007C5CD6" w:rsidRDefault="007C5CD6" w:rsidP="007C5CD6">
      <w:r w:rsidRPr="007C5CD6">
        <w:t xml:space="preserve">Taken together, the host context provided by the article strongly supports the hypothesis that the detected </w:t>
      </w:r>
      <w:proofErr w:type="spellStart"/>
      <w:r w:rsidRPr="007C5CD6">
        <w:t>RdRp</w:t>
      </w:r>
      <w:proofErr w:type="spellEnd"/>
      <w:r w:rsidRPr="007C5CD6">
        <w:t xml:space="preserve"> derives from a </w:t>
      </w:r>
      <w:r w:rsidRPr="007C5CD6">
        <w:rPr>
          <w:b/>
          <w:bCs/>
        </w:rPr>
        <w:t>fungal-associated RNA virus</w:t>
      </w:r>
      <w:r w:rsidRPr="007C5CD6">
        <w:t xml:space="preserve">, consistent with </w:t>
      </w:r>
      <w:proofErr w:type="spellStart"/>
      <w:r w:rsidRPr="007C5CD6">
        <w:t>Narnaviridae</w:t>
      </w:r>
      <w:proofErr w:type="spellEnd"/>
      <w:r w:rsidRPr="007C5CD6">
        <w:t xml:space="preserve"> biology. The ecological environment, combined with the viral genome architecture and phylogenetic placement, provides coherent scientific validation that the novel sequence represents a </w:t>
      </w:r>
      <w:proofErr w:type="spellStart"/>
      <w:r w:rsidRPr="007C5CD6">
        <w:rPr>
          <w:b/>
          <w:bCs/>
        </w:rPr>
        <w:t>narnavirus</w:t>
      </w:r>
      <w:proofErr w:type="spellEnd"/>
      <w:r w:rsidRPr="007C5CD6">
        <w:rPr>
          <w:b/>
          <w:bCs/>
        </w:rPr>
        <w:t>-like agent</w:t>
      </w:r>
      <w:r w:rsidRPr="007C5CD6">
        <w:t xml:space="preserve"> circulating within the gut microbial ecosystem.</w:t>
      </w:r>
    </w:p>
    <w:p w14:paraId="410ED7DD" w14:textId="77777777" w:rsidR="00212299" w:rsidRDefault="00212299"/>
    <w:sectPr w:rsidR="0021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D6"/>
    <w:rsid w:val="00212299"/>
    <w:rsid w:val="00536064"/>
    <w:rsid w:val="006670BA"/>
    <w:rsid w:val="0074385D"/>
    <w:rsid w:val="007C5CD6"/>
    <w:rsid w:val="00805031"/>
    <w:rsid w:val="00871A8F"/>
    <w:rsid w:val="00C1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8A7D"/>
  <w15:chartTrackingRefBased/>
  <w15:docId w15:val="{6274991C-9E25-4FEA-B736-972560BC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dcterms:created xsi:type="dcterms:W3CDTF">2025-12-11T22:09:00Z</dcterms:created>
  <dcterms:modified xsi:type="dcterms:W3CDTF">2025-12-12T23:30:00Z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022e7af7-6559-4b86-88ab-150ad2b216e0</vt:lpwstr>
  </property>
</Properties>
</file>