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2D39" w14:textId="77777777" w:rsidR="005D5AD8" w:rsidRDefault="005D5AD8">
      <w:r>
        <w:rPr>
          <w:rFonts w:hint="eastAsia"/>
        </w:rPr>
        <w:t>SRR5368803 Result Section</w:t>
      </w:r>
    </w:p>
    <w:p w14:paraId="718075BA" w14:textId="77777777" w:rsidR="005D5AD8" w:rsidRDefault="005D5AD8">
      <w:r w:rsidRPr="005D5AD8">
        <w:drawing>
          <wp:inline distT="0" distB="0" distL="0" distR="0" wp14:anchorId="19B5720D" wp14:editId="76434727">
            <wp:extent cx="5731510" cy="3794760"/>
            <wp:effectExtent l="0" t="0" r="2540" b="0"/>
            <wp:docPr id="154794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45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6E2C" w14:textId="104CE882" w:rsidR="00212299" w:rsidRDefault="005D5AD8">
      <w:r>
        <w:rPr>
          <w:rFonts w:hint="eastAsia"/>
        </w:rPr>
        <w:t>Sample attributes</w:t>
      </w:r>
    </w:p>
    <w:p w14:paraId="0AF2CC85" w14:textId="02EB7306" w:rsidR="005D5AD8" w:rsidRDefault="005D5AD8">
      <w:r w:rsidRPr="005D5AD8">
        <w:drawing>
          <wp:inline distT="0" distB="0" distL="0" distR="0" wp14:anchorId="1DA868C0" wp14:editId="2AFA9131">
            <wp:extent cx="4358082" cy="3976158"/>
            <wp:effectExtent l="0" t="0" r="4445" b="5715"/>
            <wp:docPr id="152189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94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1309" cy="397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FCB5" w14:textId="77777777" w:rsidR="005D5AD8" w:rsidRDefault="005D5AD8"/>
    <w:p w14:paraId="082F696F" w14:textId="7937AAE8" w:rsidR="005D5AD8" w:rsidRDefault="005D5AD8">
      <w:r>
        <w:rPr>
          <w:rFonts w:hint="eastAsia"/>
        </w:rPr>
        <w:lastRenderedPageBreak/>
        <w:t>Details for SRR5368803</w:t>
      </w:r>
      <w:r w:rsidRPr="005D5AD8">
        <w:drawing>
          <wp:inline distT="0" distB="0" distL="0" distR="0" wp14:anchorId="67A47745" wp14:editId="691AC98C">
            <wp:extent cx="4935643" cy="1959274"/>
            <wp:effectExtent l="0" t="0" r="0" b="3175"/>
            <wp:docPr id="85330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00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250" cy="196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76A7" w14:textId="1C46B6EC" w:rsidR="005D5AD8" w:rsidRDefault="005D5AD8">
      <w:r w:rsidRPr="005D5AD8">
        <w:drawing>
          <wp:inline distT="0" distB="0" distL="0" distR="0" wp14:anchorId="5FE43833" wp14:editId="1E250046">
            <wp:extent cx="4905589" cy="2765848"/>
            <wp:effectExtent l="0" t="0" r="0" b="0"/>
            <wp:docPr id="163234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7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6131" cy="27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B2E1" w14:textId="4FD30FB5" w:rsidR="00CF3663" w:rsidRDefault="00CF3663">
      <w:pPr>
        <w:rPr>
          <w:rFonts w:hint="eastAsia"/>
        </w:rPr>
      </w:pPr>
      <w:r w:rsidRPr="00CF3663">
        <w:t>Although the SRA taxonomy summary for SRR5368803 reports only 0.03% ‘viral’ reads, this value reflects rapid k-</w:t>
      </w:r>
      <w:proofErr w:type="spellStart"/>
      <w:r w:rsidRPr="00CF3663">
        <w:t>mer</w:t>
      </w:r>
      <w:proofErr w:type="spellEnd"/>
      <w:r w:rsidRPr="00CF3663">
        <w:t xml:space="preserve">–based classification of raw reads and is not a reliable indicator of RNA virus abundance. Most RNA viruses, particularly </w:t>
      </w:r>
      <w:proofErr w:type="spellStart"/>
      <w:r w:rsidRPr="00CF3663">
        <w:t>narnaviruses</w:t>
      </w:r>
      <w:proofErr w:type="spellEnd"/>
      <w:r w:rsidRPr="00CF3663">
        <w:t xml:space="preserve"> and </w:t>
      </w:r>
      <w:proofErr w:type="spellStart"/>
      <w:r w:rsidRPr="00CF3663">
        <w:t>mitoviruses</w:t>
      </w:r>
      <w:proofErr w:type="spellEnd"/>
      <w:r w:rsidRPr="00CF3663">
        <w:t xml:space="preserve">, lack close reference genomes and therefore remain unclassified at the read level. Indeed, 65.22% of reads in this dataset were </w:t>
      </w:r>
      <w:proofErr w:type="spellStart"/>
      <w:r w:rsidRPr="00CF3663">
        <w:t>labeled</w:t>
      </w:r>
      <w:proofErr w:type="spellEnd"/>
      <w:r w:rsidRPr="00CF3663">
        <w:t xml:space="preserve"> ‘unidentified’ (page 2), and it is within this fraction that the viral contigs were assembled. The successful recovery of the </w:t>
      </w:r>
      <w:proofErr w:type="spellStart"/>
      <w:r w:rsidRPr="00CF3663">
        <w:t>RdRp</w:t>
      </w:r>
      <w:proofErr w:type="spellEnd"/>
      <w:r w:rsidRPr="00CF3663">
        <w:t xml:space="preserve"> sequence by Serratus highlights how targeted motif-based searches can detect highly divergent viruses that are invisible to standard taxonomic classifiers.</w:t>
      </w:r>
    </w:p>
    <w:sectPr w:rsidR="00CF3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D8"/>
    <w:rsid w:val="00212299"/>
    <w:rsid w:val="00530543"/>
    <w:rsid w:val="00536064"/>
    <w:rsid w:val="005D5AD8"/>
    <w:rsid w:val="0074385D"/>
    <w:rsid w:val="00805031"/>
    <w:rsid w:val="00871A8F"/>
    <w:rsid w:val="00C1675F"/>
    <w:rsid w:val="00CF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C3AB1"/>
  <w15:chartTrackingRefBased/>
  <w15:docId w15:val="{3F739CA5-E8AC-43E9-9064-53304E67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Xuan Tee</dc:creator>
  <cp:keywords/>
  <dc:description/>
  <cp:lastModifiedBy>Zheng Xuan Tee</cp:lastModifiedBy>
  <cp:revision>1</cp:revision>
  <cp:lastPrinted>2025-12-11T03:29:00Z</cp:lastPrinted>
  <dcterms:created xsi:type="dcterms:W3CDTF">2025-12-11T03:21:00Z</dcterms:created>
  <dcterms:modified xsi:type="dcterms:W3CDTF">2025-12-12T23:28:00Z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0bc09cdb-13d6-4b62-b18c-b4d69ca4d2b3</vt:lpwstr>
  </property>
</Properties>
</file>