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200"/>
      </w:pPr>
      <w:r>
        <w:rPr>
          <w:b/>
          <w:color w:val="2E74B5"/>
          <w:sz w:val="20"/>
        </w:rPr>
        <w:t>PRODUCT REQUIREMENTS DOCUMENT</w:t>
      </w:r>
    </w:p>
    <w:p>
      <w:pPr>
        <w:spacing w:after="200"/>
      </w:pPr>
      <w:r>
        <w:rPr>
          <w:b/>
          <w:color w:val="1F4D78"/>
          <w:sz w:val="58"/>
        </w:rPr>
        <w:t>Chauffeur-Driven Luxury</w:t>
        <w:br/>
        <w:t>Vehicle Rental Platform</w:t>
      </w:r>
    </w:p>
    <w:p>
      <w:pPr>
        <w:spacing w:after="560"/>
      </w:pPr>
      <w:r>
        <w:rPr>
          <w:color w:val="5B6573"/>
          <w:sz w:val="32"/>
        </w:rPr>
        <w:t>Minimum Viable Product (MVP) Requirements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tcPr>
          <w:p>
            <w:pPr>
              <w:spacing w:after="40" w:line="269" w:lineRule="auto"/>
            </w:pPr>
            <w:r>
              <w:rPr>
                <w:rFonts w:ascii="Calibri" w:hAnsi="Calibri"/>
                <w:sz w:val="19"/>
              </w:rPr>
              <w:t>Operating market</w:t>
            </w:r>
          </w:p>
        </w:tc>
        <w:tc>
          <w:tcPr>
            <w:tcW w:type="dxa" w:w="6660"/>
            <w:tcMar>
              <w:top w:w="80" w:type="dxa"/>
              <w:start w:w="120" w:type="dxa"/>
              <w:bottom w:w="80" w:type="dxa"/>
              <w:end w:w="120" w:type="dxa"/>
            </w:tcMar>
            <w:vAlign w:val="center"/>
          </w:tcPr>
          <w:p>
            <w:pPr>
              <w:spacing w:after="40" w:line="269" w:lineRule="auto"/>
            </w:pPr>
            <w:r>
              <w:rPr>
                <w:rFonts w:ascii="Calibri" w:hAnsi="Calibri"/>
                <w:sz w:val="19"/>
              </w:rPr>
              <w:t>Nigeria</w:t>
            </w:r>
          </w:p>
        </w:tc>
      </w:tr>
      <w:tr>
        <w:tc>
          <w:tcPr>
            <w:tcW w:type="dxa" w:w="2700"/>
            <w:tcMar>
              <w:top w:w="80" w:type="dxa"/>
              <w:start w:w="120" w:type="dxa"/>
              <w:bottom w:w="80" w:type="dxa"/>
              <w:end w:w="120" w:type="dxa"/>
            </w:tcMar>
            <w:vAlign w:val="center"/>
          </w:tcPr>
          <w:p>
            <w:pPr>
              <w:spacing w:after="40" w:line="269" w:lineRule="auto"/>
            </w:pPr>
            <w:r>
              <w:rPr>
                <w:rFonts w:ascii="Calibri" w:hAnsi="Calibri"/>
                <w:sz w:val="19"/>
              </w:rPr>
              <w:t>Initial fleet hubs</w:t>
            </w:r>
          </w:p>
        </w:tc>
        <w:tc>
          <w:tcPr>
            <w:tcW w:type="dxa" w:w="6660"/>
            <w:tcMar>
              <w:top w:w="80" w:type="dxa"/>
              <w:start w:w="120" w:type="dxa"/>
              <w:bottom w:w="80" w:type="dxa"/>
              <w:end w:w="120" w:type="dxa"/>
            </w:tcMar>
            <w:vAlign w:val="center"/>
          </w:tcPr>
          <w:p>
            <w:pPr>
              <w:spacing w:after="40" w:line="269" w:lineRule="auto"/>
            </w:pPr>
            <w:r>
              <w:rPr>
                <w:rFonts w:ascii="Calibri" w:hAnsi="Calibri"/>
                <w:sz w:val="19"/>
              </w:rPr>
              <w:t>Lagos, Ogun, Oyo and Abuja (FCT)</w:t>
            </w:r>
          </w:p>
        </w:tc>
      </w:tr>
      <w:tr>
        <w:tc>
          <w:tcPr>
            <w:tcW w:type="dxa" w:w="2700"/>
            <w:tcMar>
              <w:top w:w="80" w:type="dxa"/>
              <w:start w:w="120" w:type="dxa"/>
              <w:bottom w:w="80" w:type="dxa"/>
              <w:end w:w="120" w:type="dxa"/>
            </w:tcMar>
            <w:vAlign w:val="center"/>
          </w:tcPr>
          <w:p>
            <w:pPr>
              <w:spacing w:after="40" w:line="269" w:lineRule="auto"/>
            </w:pPr>
            <w:r>
              <w:rPr>
                <w:rFonts w:ascii="Calibri" w:hAnsi="Calibri"/>
                <w:sz w:val="19"/>
              </w:rPr>
              <w:t>Service model</w:t>
            </w:r>
          </w:p>
        </w:tc>
        <w:tc>
          <w:tcPr>
            <w:tcW w:type="dxa" w:w="6660"/>
            <w:tcMar>
              <w:top w:w="80" w:type="dxa"/>
              <w:start w:w="120" w:type="dxa"/>
              <w:bottom w:w="80" w:type="dxa"/>
              <w:end w:w="120" w:type="dxa"/>
            </w:tcMar>
            <w:vAlign w:val="center"/>
          </w:tcPr>
          <w:p>
            <w:pPr>
              <w:spacing w:after="40" w:line="269" w:lineRule="auto"/>
            </w:pPr>
            <w:r>
              <w:rPr>
                <w:rFonts w:ascii="Calibri" w:hAnsi="Calibri"/>
                <w:sz w:val="19"/>
              </w:rPr>
              <w:t>Chauffeur-driven only; local and approved interstate trips</w:t>
            </w:r>
          </w:p>
        </w:tc>
      </w:tr>
      <w:tr>
        <w:tc>
          <w:tcPr>
            <w:tcW w:type="dxa" w:w="2700"/>
            <w:tcMar>
              <w:top w:w="80" w:type="dxa"/>
              <w:start w:w="120" w:type="dxa"/>
              <w:bottom w:w="80" w:type="dxa"/>
              <w:end w:w="120" w:type="dxa"/>
            </w:tcMar>
            <w:vAlign w:val="center"/>
          </w:tcPr>
          <w:p>
            <w:pPr>
              <w:spacing w:after="40" w:line="269" w:lineRule="auto"/>
            </w:pPr>
            <w:r>
              <w:rPr>
                <w:rFonts w:ascii="Calibri" w:hAnsi="Calibri"/>
                <w:sz w:val="19"/>
              </w:rPr>
              <w:t>Fleet model</w:t>
            </w:r>
          </w:p>
        </w:tc>
        <w:tc>
          <w:tcPr>
            <w:tcW w:type="dxa" w:w="6660"/>
            <w:tcMar>
              <w:top w:w="80" w:type="dxa"/>
              <w:start w:w="120" w:type="dxa"/>
              <w:bottom w:w="80" w:type="dxa"/>
              <w:end w:w="120" w:type="dxa"/>
            </w:tcMar>
            <w:vAlign w:val="center"/>
          </w:tcPr>
          <w:p>
            <w:pPr>
              <w:spacing w:after="40" w:line="269" w:lineRule="auto"/>
            </w:pPr>
            <w:r>
              <w:rPr>
                <w:rFonts w:ascii="Calibri" w:hAnsi="Calibri"/>
                <w:sz w:val="19"/>
              </w:rPr>
              <w:t>Dynamic company-owned and partner-owned fleet</w:t>
            </w:r>
          </w:p>
        </w:tc>
      </w:tr>
      <w:tr>
        <w:tc>
          <w:tcPr>
            <w:tcW w:type="dxa" w:w="2700"/>
            <w:tcMar>
              <w:top w:w="80" w:type="dxa"/>
              <w:start w:w="120" w:type="dxa"/>
              <w:bottom w:w="80" w:type="dxa"/>
              <w:end w:w="120" w:type="dxa"/>
            </w:tcMar>
            <w:vAlign w:val="center"/>
          </w:tcPr>
          <w:p>
            <w:pPr>
              <w:spacing w:after="40" w:line="269" w:lineRule="auto"/>
            </w:pPr>
            <w:r>
              <w:rPr>
                <w:rFonts w:ascii="Calibri" w:hAnsi="Calibri"/>
                <w:sz w:val="19"/>
              </w:rPr>
              <w:t>Partner settlement</w:t>
            </w:r>
          </w:p>
        </w:tc>
        <w:tc>
          <w:tcPr>
            <w:tcW w:type="dxa" w:w="6660"/>
            <w:tcMar>
              <w:top w:w="80" w:type="dxa"/>
              <w:start w:w="120" w:type="dxa"/>
              <w:bottom w:w="80" w:type="dxa"/>
              <w:end w:w="120" w:type="dxa"/>
            </w:tcMar>
            <w:vAlign w:val="center"/>
          </w:tcPr>
          <w:p>
            <w:pPr>
              <w:spacing w:after="40" w:line="269" w:lineRule="auto"/>
            </w:pPr>
            <w:r>
              <w:rPr>
                <w:rFonts w:ascii="Calibri" w:hAnsi="Calibri"/>
                <w:sz w:val="19"/>
              </w:rPr>
              <w:t>Commission, fixed supplier rate or custom hybrid terms</w:t>
            </w:r>
          </w:p>
        </w:tc>
      </w:tr>
      <w:tr>
        <w:tc>
          <w:tcPr>
            <w:tcW w:type="dxa" w:w="2700"/>
            <w:tcMar>
              <w:top w:w="80" w:type="dxa"/>
              <w:start w:w="120" w:type="dxa"/>
              <w:bottom w:w="80" w:type="dxa"/>
              <w:end w:w="120" w:type="dxa"/>
            </w:tcMar>
            <w:vAlign w:val="center"/>
          </w:tcPr>
          <w:p>
            <w:pPr>
              <w:spacing w:after="40" w:line="269" w:lineRule="auto"/>
            </w:pPr>
            <w:r>
              <w:rPr>
                <w:rFonts w:ascii="Calibri" w:hAnsi="Calibri"/>
                <w:sz w:val="19"/>
              </w:rPr>
              <w:t>Software budget</w:t>
            </w:r>
          </w:p>
        </w:tc>
        <w:tc>
          <w:tcPr>
            <w:tcW w:type="dxa" w:w="6660"/>
            <w:tcMar>
              <w:top w:w="80" w:type="dxa"/>
              <w:start w:w="120" w:type="dxa"/>
              <w:bottom w:w="80" w:type="dxa"/>
              <w:end w:w="120" w:type="dxa"/>
            </w:tcMar>
            <w:vAlign w:val="center"/>
          </w:tcPr>
          <w:p>
            <w:pPr>
              <w:spacing w:after="40" w:line="269" w:lineRule="auto"/>
            </w:pPr>
            <w:r>
              <w:rPr>
                <w:rFonts w:ascii="Calibri" w:hAnsi="Calibri"/>
                <w:sz w:val="19"/>
              </w:rPr>
              <w:t>Below NGN 5,000,000</w:t>
            </w:r>
          </w:p>
        </w:tc>
      </w:tr>
      <w:tr>
        <w:tc>
          <w:tcPr>
            <w:tcW w:type="dxa" w:w="2700"/>
            <w:tcMar>
              <w:top w:w="80" w:type="dxa"/>
              <w:start w:w="120" w:type="dxa"/>
              <w:bottom w:w="80" w:type="dxa"/>
              <w:end w:w="120" w:type="dxa"/>
            </w:tcMar>
            <w:vAlign w:val="center"/>
          </w:tcPr>
          <w:p>
            <w:pPr>
              <w:spacing w:after="40" w:line="269" w:lineRule="auto"/>
            </w:pPr>
            <w:r>
              <w:rPr>
                <w:rFonts w:ascii="Calibri" w:hAnsi="Calibri"/>
                <w:sz w:val="19"/>
              </w:rPr>
              <w:t>Document status</w:t>
            </w:r>
          </w:p>
        </w:tc>
        <w:tc>
          <w:tcPr>
            <w:tcW w:type="dxa" w:w="6660"/>
            <w:tcMar>
              <w:top w:w="80" w:type="dxa"/>
              <w:start w:w="120" w:type="dxa"/>
              <w:bottom w:w="80" w:type="dxa"/>
              <w:end w:w="120" w:type="dxa"/>
            </w:tcMar>
            <w:vAlign w:val="center"/>
          </w:tcPr>
          <w:p>
            <w:pPr>
              <w:spacing w:after="40" w:line="269" w:lineRule="auto"/>
            </w:pPr>
            <w:r>
              <w:rPr>
                <w:rFonts w:ascii="Calibri" w:hAnsi="Calibri"/>
                <w:sz w:val="19"/>
              </w:rPr>
              <w:t>Working baseline for design, quotation and development</w:t>
            </w:r>
          </w:p>
        </w:tc>
      </w:tr>
    </w:tbl>
    <w:p>
      <w:pPr>
        <w:spacing w:after="0"/>
      </w:pPr>
    </w:p>
    <w:p>
      <w:pPr>
        <w:pStyle w:val="Callout"/>
        <w:shd w:fill="F5F8FB"/>
      </w:pPr>
      <w:r>
        <w:rPr>
          <w:b/>
        </w:rPr>
        <w:t xml:space="preserve">Purpose. </w:t>
      </w:r>
      <w:r>
        <w:t>Define a buildable first release that digitises enquiry, quotation, approval, payment, vehicle and chauffeur assignment, trip execution, partner earnings and reporting without overloading the initial budget.</w:t>
      </w:r>
    </w:p>
    <w:p>
      <w:r>
        <w:br w:type="page"/>
      </w:r>
    </w:p>
    <w:p>
      <w:pPr>
        <w:pStyle w:val="Heading1"/>
      </w:pPr>
      <w:r>
        <w:t>1. Executive summary</w:t>
      </w:r>
    </w:p>
    <w:p>
      <w:r>
        <w:t>The proposed product is a mobile-first web platform for a Nigerian luxury vehicle rental company. Customers will book chauffeur-driven vehicles from fleets based in Lagos, Ogun, Oyo and Abuja. Trips may remain local or travel to other approved Nigerian states. The platform will serve customers, operations staff, chauffeurs, fleet partners and finance personnel through role-specific experiences.</w:t>
      </w:r>
    </w:p>
    <w:p>
      <w:pPr>
        <w:pStyle w:val="Callout"/>
        <w:shd w:fill="F5F8FB"/>
      </w:pPr>
      <w:r>
        <w:rPr>
          <w:b/>
        </w:rPr>
        <w:t xml:space="preserve">MVP principle. </w:t>
      </w:r>
      <w:r>
        <w:t>Automate repeatable administration while retaining human approval for pricing exceptions, risky routes, customer verification, incident charges and partner payouts.</w:t>
      </w:r>
    </w:p>
    <w:p>
      <w:pPr>
        <w:pStyle w:val="Heading2"/>
      </w:pPr>
      <w:r>
        <w:t>1.1 Goals</w:t>
      </w:r>
    </w:p>
    <w:p>
      <w:pPr>
        <w:pStyle w:val="ListBullet"/>
        <w:spacing w:after="80" w:line="300" w:lineRule="auto"/>
        <w:ind w:left="540" w:hanging="271"/>
      </w:pPr>
      <w:r>
        <w:t>Replace fragmented booking conversations and spreadsheets with one source of truth.</w:t>
      </w:r>
    </w:p>
    <w:p>
      <w:pPr>
        <w:pStyle w:val="ListBullet"/>
        <w:spacing w:after="80" w:line="300" w:lineRule="auto"/>
        <w:ind w:left="540" w:hanging="271"/>
      </w:pPr>
      <w:r>
        <w:t>Prevent double-booking by coordinating vehicle and chauffeur availability.</w:t>
      </w:r>
    </w:p>
    <w:p>
      <w:pPr>
        <w:pStyle w:val="ListBullet"/>
        <w:spacing w:after="80" w:line="300" w:lineRule="auto"/>
        <w:ind w:left="540" w:hanging="271"/>
      </w:pPr>
      <w:r>
        <w:t>Produce consistent quotes for local and interstate journeys.</w:t>
      </w:r>
    </w:p>
    <w:p>
      <w:pPr>
        <w:pStyle w:val="ListBullet"/>
        <w:spacing w:after="80" w:line="300" w:lineRule="auto"/>
        <w:ind w:left="540" w:hanging="271"/>
      </w:pPr>
      <w:r>
        <w:t>Provide an auditable record of approvals, payments, trip events and settlements.</w:t>
      </w:r>
    </w:p>
    <w:p>
      <w:pPr>
        <w:pStyle w:val="ListBullet"/>
        <w:spacing w:after="80" w:line="300" w:lineRule="auto"/>
        <w:ind w:left="540" w:hanging="271"/>
      </w:pPr>
      <w:r>
        <w:t>Allow the fleet to grow or contract without changing the software.</w:t>
      </w:r>
    </w:p>
    <w:p>
      <w:pPr>
        <w:pStyle w:val="ListBullet"/>
        <w:spacing w:after="80" w:line="300" w:lineRule="auto"/>
        <w:ind w:left="540" w:hanging="271"/>
      </w:pPr>
      <w:r>
        <w:t>Give partners and chauffeurs enough visibility without exposing confidential company data.</w:t>
      </w:r>
    </w:p>
    <w:p>
      <w:pPr>
        <w:pStyle w:val="Heading2"/>
      </w:pPr>
      <w:r>
        <w:t>1.2 Success measures for the first 90 days</w:t>
      </w:r>
    </w:p>
    <w:tbl>
      <w:tblPr>
        <w:tblStyle w:val="TableGrid"/>
        <w:tblW w:type="dxa" w:w="9360"/>
        <w:jc w:val="left"/>
        <w:tblLayout w:type="fixed"/>
        <w:tblLook w:firstColumn="1" w:firstRow="1" w:lastColumn="0" w:lastRow="0" w:noHBand="0" w:noVBand="1" w:val="04A0"/>
        <w:tblInd w:w="120" w:type="dxa"/>
      </w:tblPr>
      <w:tblGrid>
        <w:gridCol w:w="5000"/>
        <w:gridCol w:w="4360"/>
      </w:tblGrid>
      <w:tr>
        <w:trPr>
          <w:tblHeader w:val="true"/>
        </w:trPr>
        <w:tc>
          <w:tcPr>
            <w:tcW w:type="dxa" w:w="5000"/>
            <w:shd w:fill="E8EEF5"/>
            <w:tcMar>
              <w:top w:w="80" w:type="dxa"/>
              <w:start w:w="120" w:type="dxa"/>
              <w:bottom w:w="80" w:type="dxa"/>
              <w:end w:w="120" w:type="dxa"/>
            </w:tcMar>
            <w:vAlign w:val="center"/>
          </w:tcPr>
          <w:p>
            <w:pPr>
              <w:spacing w:after="40" w:line="269" w:lineRule="auto"/>
            </w:pPr>
            <w:r>
              <w:rPr>
                <w:rFonts w:ascii="Calibri" w:hAnsi="Calibri"/>
                <w:b/>
                <w:sz w:val="19"/>
              </w:rPr>
              <w:t>Measure</w:t>
            </w:r>
          </w:p>
        </w:tc>
        <w:tc>
          <w:tcPr>
            <w:tcW w:type="dxa" w:w="4360"/>
            <w:shd w:fill="E8EEF5"/>
            <w:tcMar>
              <w:top w:w="80" w:type="dxa"/>
              <w:start w:w="120" w:type="dxa"/>
              <w:bottom w:w="80" w:type="dxa"/>
              <w:end w:w="120" w:type="dxa"/>
            </w:tcMar>
            <w:vAlign w:val="center"/>
          </w:tcPr>
          <w:p>
            <w:pPr>
              <w:spacing w:after="40" w:line="269" w:lineRule="auto"/>
            </w:pPr>
            <w:r>
              <w:rPr>
                <w:rFonts w:ascii="Calibri" w:hAnsi="Calibri"/>
                <w:b/>
                <w:sz w:val="19"/>
              </w:rPr>
              <w:t>Initial target</w:t>
            </w:r>
          </w:p>
        </w:tc>
      </w:tr>
      <w:tr>
        <w:tc>
          <w:tcPr>
            <w:tcW w:type="dxa" w:w="5000"/>
            <w:tcMar>
              <w:top w:w="80" w:type="dxa"/>
              <w:start w:w="120" w:type="dxa"/>
              <w:bottom w:w="80" w:type="dxa"/>
              <w:end w:w="120" w:type="dxa"/>
            </w:tcMar>
            <w:vAlign w:val="center"/>
          </w:tcPr>
          <w:p>
            <w:pPr>
              <w:spacing w:after="40" w:line="269" w:lineRule="auto"/>
            </w:pPr>
            <w:r>
              <w:rPr>
                <w:rFonts w:ascii="Calibri" w:hAnsi="Calibri"/>
                <w:sz w:val="19"/>
              </w:rPr>
              <w:t>Bookings recorded digitally</w:t>
            </w:r>
          </w:p>
        </w:tc>
        <w:tc>
          <w:tcPr>
            <w:tcW w:type="dxa" w:w="4360"/>
            <w:tcMar>
              <w:top w:w="80" w:type="dxa"/>
              <w:start w:w="120" w:type="dxa"/>
              <w:bottom w:w="80" w:type="dxa"/>
              <w:end w:w="120" w:type="dxa"/>
            </w:tcMar>
            <w:vAlign w:val="center"/>
          </w:tcPr>
          <w:p>
            <w:pPr>
              <w:spacing w:after="40" w:line="269" w:lineRule="auto"/>
            </w:pPr>
            <w:r>
              <w:rPr>
                <w:rFonts w:ascii="Calibri" w:hAnsi="Calibri"/>
                <w:sz w:val="19"/>
              </w:rPr>
              <w:t>At least 90%</w:t>
            </w:r>
          </w:p>
        </w:tc>
      </w:tr>
      <w:tr>
        <w:tc>
          <w:tcPr>
            <w:tcW w:type="dxa" w:w="5000"/>
            <w:tcMar>
              <w:top w:w="80" w:type="dxa"/>
              <w:start w:w="120" w:type="dxa"/>
              <w:bottom w:w="80" w:type="dxa"/>
              <w:end w:w="120" w:type="dxa"/>
            </w:tcMar>
            <w:vAlign w:val="center"/>
          </w:tcPr>
          <w:p>
            <w:pPr>
              <w:spacing w:after="40" w:line="269" w:lineRule="auto"/>
            </w:pPr>
            <w:r>
              <w:rPr>
                <w:rFonts w:ascii="Calibri" w:hAnsi="Calibri"/>
                <w:sz w:val="19"/>
              </w:rPr>
              <w:t>Confirmed double-bookings</w:t>
            </w:r>
          </w:p>
        </w:tc>
        <w:tc>
          <w:tcPr>
            <w:tcW w:type="dxa" w:w="4360"/>
            <w:tcMar>
              <w:top w:w="80" w:type="dxa"/>
              <w:start w:w="120" w:type="dxa"/>
              <w:bottom w:w="80" w:type="dxa"/>
              <w:end w:w="120" w:type="dxa"/>
            </w:tcMar>
            <w:vAlign w:val="center"/>
          </w:tcPr>
          <w:p>
            <w:pPr>
              <w:spacing w:after="40" w:line="269" w:lineRule="auto"/>
            </w:pPr>
            <w:r>
              <w:rPr>
                <w:rFonts w:ascii="Calibri" w:hAnsi="Calibri"/>
                <w:sz w:val="19"/>
              </w:rPr>
              <w:t>Zero</w:t>
            </w:r>
          </w:p>
        </w:tc>
      </w:tr>
      <w:tr>
        <w:tc>
          <w:tcPr>
            <w:tcW w:type="dxa" w:w="5000"/>
            <w:tcMar>
              <w:top w:w="80" w:type="dxa"/>
              <w:start w:w="120" w:type="dxa"/>
              <w:bottom w:w="80" w:type="dxa"/>
              <w:end w:w="120" w:type="dxa"/>
            </w:tcMar>
            <w:vAlign w:val="center"/>
          </w:tcPr>
          <w:p>
            <w:pPr>
              <w:spacing w:after="40" w:line="269" w:lineRule="auto"/>
            </w:pPr>
            <w:r>
              <w:rPr>
                <w:rFonts w:ascii="Calibri" w:hAnsi="Calibri"/>
                <w:sz w:val="19"/>
              </w:rPr>
              <w:t>Standard quote preparation</w:t>
            </w:r>
          </w:p>
        </w:tc>
        <w:tc>
          <w:tcPr>
            <w:tcW w:type="dxa" w:w="4360"/>
            <w:tcMar>
              <w:top w:w="80" w:type="dxa"/>
              <w:start w:w="120" w:type="dxa"/>
              <w:bottom w:w="80" w:type="dxa"/>
              <w:end w:w="120" w:type="dxa"/>
            </w:tcMar>
            <w:vAlign w:val="center"/>
          </w:tcPr>
          <w:p>
            <w:pPr>
              <w:spacing w:after="40" w:line="269" w:lineRule="auto"/>
            </w:pPr>
            <w:r>
              <w:rPr>
                <w:rFonts w:ascii="Calibri" w:hAnsi="Calibri"/>
                <w:sz w:val="19"/>
              </w:rPr>
              <w:t>Under 10 minutes</w:t>
            </w:r>
          </w:p>
        </w:tc>
      </w:tr>
      <w:tr>
        <w:tc>
          <w:tcPr>
            <w:tcW w:type="dxa" w:w="5000"/>
            <w:tcMar>
              <w:top w:w="80" w:type="dxa"/>
              <w:start w:w="120" w:type="dxa"/>
              <w:bottom w:w="80" w:type="dxa"/>
              <w:end w:w="120" w:type="dxa"/>
            </w:tcMar>
            <w:vAlign w:val="center"/>
          </w:tcPr>
          <w:p>
            <w:pPr>
              <w:spacing w:after="40" w:line="269" w:lineRule="auto"/>
            </w:pPr>
            <w:r>
              <w:rPr>
                <w:rFonts w:ascii="Calibri" w:hAnsi="Calibri"/>
                <w:sz w:val="19"/>
              </w:rPr>
              <w:t>Completed trips with event trail</w:t>
            </w:r>
          </w:p>
        </w:tc>
        <w:tc>
          <w:tcPr>
            <w:tcW w:type="dxa" w:w="4360"/>
            <w:tcMar>
              <w:top w:w="80" w:type="dxa"/>
              <w:start w:w="120" w:type="dxa"/>
              <w:bottom w:w="80" w:type="dxa"/>
              <w:end w:w="120" w:type="dxa"/>
            </w:tcMar>
            <w:vAlign w:val="center"/>
          </w:tcPr>
          <w:p>
            <w:pPr>
              <w:spacing w:after="40" w:line="269" w:lineRule="auto"/>
            </w:pPr>
            <w:r>
              <w:rPr>
                <w:rFonts w:ascii="Calibri" w:hAnsi="Calibri"/>
                <w:sz w:val="19"/>
              </w:rPr>
              <w:t>At least 95%</w:t>
            </w:r>
          </w:p>
        </w:tc>
      </w:tr>
      <w:tr>
        <w:tc>
          <w:tcPr>
            <w:tcW w:type="dxa" w:w="5000"/>
            <w:tcMar>
              <w:top w:w="80" w:type="dxa"/>
              <w:start w:w="120" w:type="dxa"/>
              <w:bottom w:w="80" w:type="dxa"/>
              <w:end w:w="120" w:type="dxa"/>
            </w:tcMar>
            <w:vAlign w:val="center"/>
          </w:tcPr>
          <w:p>
            <w:pPr>
              <w:spacing w:after="40" w:line="269" w:lineRule="auto"/>
            </w:pPr>
            <w:r>
              <w:rPr>
                <w:rFonts w:ascii="Calibri" w:hAnsi="Calibri"/>
                <w:sz w:val="19"/>
              </w:rPr>
              <w:t>Partner statements generated from system</w:t>
            </w:r>
          </w:p>
        </w:tc>
        <w:tc>
          <w:tcPr>
            <w:tcW w:type="dxa" w:w="4360"/>
            <w:tcMar>
              <w:top w:w="80" w:type="dxa"/>
              <w:start w:w="120" w:type="dxa"/>
              <w:bottom w:w="80" w:type="dxa"/>
              <w:end w:w="120" w:type="dxa"/>
            </w:tcMar>
            <w:vAlign w:val="center"/>
          </w:tcPr>
          <w:p>
            <w:pPr>
              <w:spacing w:after="40" w:line="269" w:lineRule="auto"/>
            </w:pPr>
            <w:r>
              <w:rPr>
                <w:rFonts w:ascii="Calibri" w:hAnsi="Calibri"/>
                <w:sz w:val="19"/>
              </w:rPr>
              <w:t>100% of partner trips</w:t>
            </w:r>
          </w:p>
        </w:tc>
      </w:tr>
      <w:tr>
        <w:tc>
          <w:tcPr>
            <w:tcW w:type="dxa" w:w="5000"/>
            <w:tcMar>
              <w:top w:w="80" w:type="dxa"/>
              <w:start w:w="120" w:type="dxa"/>
              <w:bottom w:w="80" w:type="dxa"/>
              <w:end w:w="120" w:type="dxa"/>
            </w:tcMar>
            <w:vAlign w:val="center"/>
          </w:tcPr>
          <w:p>
            <w:pPr>
              <w:spacing w:after="40" w:line="269" w:lineRule="auto"/>
            </w:pPr>
            <w:r>
              <w:rPr>
                <w:rFonts w:ascii="Calibri" w:hAnsi="Calibri"/>
                <w:sz w:val="19"/>
              </w:rPr>
              <w:t>Critical unresolved production defects</w:t>
            </w:r>
          </w:p>
        </w:tc>
        <w:tc>
          <w:tcPr>
            <w:tcW w:type="dxa" w:w="4360"/>
            <w:tcMar>
              <w:top w:w="80" w:type="dxa"/>
              <w:start w:w="120" w:type="dxa"/>
              <w:bottom w:w="80" w:type="dxa"/>
              <w:end w:w="120" w:type="dxa"/>
            </w:tcMar>
            <w:vAlign w:val="center"/>
          </w:tcPr>
          <w:p>
            <w:pPr>
              <w:spacing w:after="40" w:line="269" w:lineRule="auto"/>
            </w:pPr>
            <w:r>
              <w:rPr>
                <w:rFonts w:ascii="Calibri" w:hAnsi="Calibri"/>
                <w:sz w:val="19"/>
              </w:rPr>
              <w:t>Zero at launch</w:t>
            </w:r>
          </w:p>
        </w:tc>
      </w:tr>
    </w:tbl>
    <w:p>
      <w:pPr>
        <w:spacing w:after="0"/>
      </w:pPr>
    </w:p>
    <w:p>
      <w:pPr>
        <w:pStyle w:val="Heading2"/>
      </w:pPr>
      <w:r>
        <w:t>1.3 Explicitly out of scope</w:t>
      </w:r>
    </w:p>
    <w:p>
      <w:pPr>
        <w:pStyle w:val="ListBullet"/>
        <w:spacing w:after="80" w:line="300" w:lineRule="auto"/>
        <w:ind w:left="540" w:hanging="271"/>
      </w:pPr>
      <w:r>
        <w:t>Customer self-drive rentals.</w:t>
      </w:r>
    </w:p>
    <w:p>
      <w:pPr>
        <w:pStyle w:val="ListBullet"/>
        <w:spacing w:after="80" w:line="300" w:lineRule="auto"/>
        <w:ind w:left="540" w:hanging="271"/>
      </w:pPr>
      <w:r>
        <w:t>Native iOS or Android applications.</w:t>
      </w:r>
    </w:p>
    <w:p>
      <w:pPr>
        <w:pStyle w:val="ListBullet"/>
        <w:spacing w:after="80" w:line="300" w:lineRule="auto"/>
        <w:ind w:left="540" w:hanging="271"/>
      </w:pPr>
      <w:r>
        <w:t>AI damage detection, predictive maintenance or automated dynamic pricing.</w:t>
      </w:r>
    </w:p>
    <w:p>
      <w:pPr>
        <w:pStyle w:val="ListBullet"/>
        <w:spacing w:after="80" w:line="300" w:lineRule="auto"/>
        <w:ind w:left="540" w:hanging="271"/>
      </w:pPr>
      <w:r>
        <w:t>Fully automated KYC decisions, partner bank payouts or accounting reconciliation.</w:t>
      </w:r>
    </w:p>
    <w:p>
      <w:pPr>
        <w:pStyle w:val="ListBullet"/>
        <w:spacing w:after="80" w:line="300" w:lineRule="auto"/>
        <w:ind w:left="540" w:hanging="271"/>
      </w:pPr>
      <w:r>
        <w:t>Real-time passenger map tracking and advanced vehicle telematics.</w:t>
      </w:r>
    </w:p>
    <w:p>
      <w:pPr>
        <w:pStyle w:val="Heading1"/>
      </w:pPr>
      <w:r>
        <w:t>2. Users and permissions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40" w:line="269" w:lineRule="auto"/>
            </w:pPr>
            <w:r>
              <w:rPr>
                <w:rFonts w:ascii="Calibri" w:hAnsi="Calibri"/>
                <w:b/>
                <w:sz w:val="19"/>
              </w:rPr>
              <w:t>Role</w:t>
            </w:r>
          </w:p>
        </w:tc>
        <w:tc>
          <w:tcPr>
            <w:tcW w:type="dxa" w:w="7160"/>
            <w:shd w:fill="E8EEF5"/>
            <w:tcMar>
              <w:top w:w="80" w:type="dxa"/>
              <w:start w:w="120" w:type="dxa"/>
              <w:bottom w:w="80" w:type="dxa"/>
              <w:end w:w="120" w:type="dxa"/>
            </w:tcMar>
            <w:vAlign w:val="center"/>
          </w:tcPr>
          <w:p>
            <w:pPr>
              <w:spacing w:after="40" w:line="269" w:lineRule="auto"/>
            </w:pPr>
            <w:r>
              <w:rPr>
                <w:rFonts w:ascii="Calibri" w:hAnsi="Calibri"/>
                <w:b/>
                <w:sz w:val="19"/>
              </w:rPr>
              <w:t>Primary permissions</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Customer</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Browse, request quotes, submit details, pay, accept terms and view own bookings.</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Operations</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Manage requests, quotes, vehicles, chauffeurs, assignments and trip events.</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Administrator</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Full configuration, approvals, user access, pricing rules and audit visibility.</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Chauffeur</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View assigned trips, accept work and post permitted trip updates and expenses.</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Fleet partner</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Manage own vehicles/documents/availability; view own bookings and earnings.</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Finance</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Verify payments, approve refunds and payouts, view ledgers and export reports.</w:t>
            </w:r>
          </w:p>
        </w:tc>
      </w:tr>
    </w:tbl>
    <w:p>
      <w:pPr>
        <w:spacing w:after="0"/>
      </w:pPr>
    </w:p>
    <w:p>
      <w:pPr>
        <w:pStyle w:val="Callout"/>
        <w:shd w:fill="F5F8FB"/>
      </w:pPr>
      <w:r>
        <w:rPr>
          <w:b/>
        </w:rPr>
        <w:t xml:space="preserve">Access rule. </w:t>
      </w:r>
      <w:r>
        <w:t>Every record must be scoped by role and ownership. Partners must never see other partners' vehicles, commercial terms or earnings. Chauffeurs must see only assigned trips and only the passenger information needed to perform them.</w:t>
      </w:r>
    </w:p>
    <w:p>
      <w:pPr>
        <w:pStyle w:val="Heading1"/>
      </w:pPr>
      <w:r>
        <w:t>3. Service and booking rules</w:t>
      </w:r>
    </w:p>
    <w:p>
      <w:pPr>
        <w:pStyle w:val="Heading2"/>
      </w:pPr>
      <w:r>
        <w:t>3.1 Service types</w:t>
      </w:r>
    </w:p>
    <w:p>
      <w:pPr>
        <w:pStyle w:val="ListBullet"/>
        <w:spacing w:after="80" w:line="300" w:lineRule="auto"/>
        <w:ind w:left="540" w:hanging="271"/>
      </w:pPr>
      <w:r>
        <w:t>Local point-to-point transfer.</w:t>
      </w:r>
    </w:p>
    <w:p>
      <w:pPr>
        <w:pStyle w:val="ListBullet"/>
        <w:spacing w:after="80" w:line="300" w:lineRule="auto"/>
        <w:ind w:left="540" w:hanging="271"/>
      </w:pPr>
      <w:r>
        <w:t>Airport pickup or drop-off.</w:t>
      </w:r>
    </w:p>
    <w:p>
      <w:pPr>
        <w:pStyle w:val="ListBullet"/>
        <w:spacing w:after="80" w:line="300" w:lineRule="auto"/>
        <w:ind w:left="540" w:hanging="271"/>
      </w:pPr>
      <w:r>
        <w:t>Hourly disposal / as-directed hire.</w:t>
      </w:r>
    </w:p>
    <w:p>
      <w:pPr>
        <w:pStyle w:val="ListBullet"/>
        <w:spacing w:after="80" w:line="300" w:lineRule="auto"/>
        <w:ind w:left="540" w:hanging="271"/>
      </w:pPr>
      <w:r>
        <w:t>Event or wedding hire.</w:t>
      </w:r>
    </w:p>
    <w:p>
      <w:pPr>
        <w:pStyle w:val="ListBullet"/>
        <w:spacing w:after="80" w:line="300" w:lineRule="auto"/>
        <w:ind w:left="540" w:hanging="271"/>
      </w:pPr>
      <w:r>
        <w:t>Interstate one-way journey.</w:t>
      </w:r>
    </w:p>
    <w:p>
      <w:pPr>
        <w:pStyle w:val="ListBullet"/>
        <w:spacing w:after="80" w:line="300" w:lineRule="auto"/>
        <w:ind w:left="540" w:hanging="271"/>
      </w:pPr>
      <w:r>
        <w:t>Interstate return journey.</w:t>
      </w:r>
    </w:p>
    <w:p>
      <w:pPr>
        <w:pStyle w:val="ListBullet"/>
        <w:spacing w:after="80" w:line="300" w:lineRule="auto"/>
        <w:ind w:left="540" w:hanging="271"/>
      </w:pPr>
      <w:r>
        <w:t>Multi-day itinerary with chauffeur.</w:t>
      </w:r>
    </w:p>
    <w:p>
      <w:pPr>
        <w:pStyle w:val="ListBullet"/>
        <w:spacing w:after="80" w:line="300" w:lineRule="auto"/>
        <w:ind w:left="540" w:hanging="271"/>
      </w:pPr>
      <w:r>
        <w:t>Vehicle relocation between fleet hubs (internal only).</w:t>
      </w:r>
    </w:p>
    <w:p>
      <w:pPr>
        <w:pStyle w:val="Heading2"/>
      </w:pPr>
      <w:r>
        <w:t>3.2 Geographic model</w:t>
      </w:r>
    </w:p>
    <w:p>
      <w:r>
        <w:t>Each vehicle has a home hub and may serve configured pickup zones. Destinations outside the hub state are allowed only where the route and destination are enabled. Operations may require manual approval based on notice period, road accessibility, security conditions, vehicle suitability, chauffeur availability and insurance restrictions.</w:t>
      </w:r>
    </w:p>
    <w:p>
      <w:pPr>
        <w:pStyle w:val="Heading2"/>
      </w:pPr>
      <w:r>
        <w:t>3.3 Quote components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40" w:line="269" w:lineRule="auto"/>
            </w:pPr>
            <w:r>
              <w:rPr>
                <w:rFonts w:ascii="Calibri" w:hAnsi="Calibri"/>
                <w:b/>
                <w:sz w:val="19"/>
              </w:rPr>
              <w:t>Component</w:t>
            </w:r>
          </w:p>
        </w:tc>
        <w:tc>
          <w:tcPr>
            <w:tcW w:type="dxa" w:w="6860"/>
            <w:shd w:fill="E8EEF5"/>
            <w:tcMar>
              <w:top w:w="80" w:type="dxa"/>
              <w:start w:w="120" w:type="dxa"/>
              <w:bottom w:w="80" w:type="dxa"/>
              <w:end w:w="120" w:type="dxa"/>
            </w:tcMar>
            <w:vAlign w:val="center"/>
          </w:tcPr>
          <w:p>
            <w:pPr>
              <w:spacing w:after="40" w:line="269" w:lineRule="auto"/>
            </w:pPr>
            <w:r>
              <w:rPr>
                <w:rFonts w:ascii="Calibri" w:hAnsi="Calibri"/>
                <w:b/>
                <w:sz w:val="19"/>
              </w:rPr>
              <w:t>Rule requirement</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Base hire</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Hourly, transfer, daily or itinerary rate by vehicle/category and hub.</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Distance</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Included kilometres plus excess-distance rate, or route-based charge.</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Chauffeur</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Included amount, daily allowance, overtime and additional-driver cost.</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Interstate</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Fuel, tolls, return logistics and route surcharge where configured.</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Overnight</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Chauffeur accommodation/allowance and vehicle holding charge.</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Pickup/delivery</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Zone fee based on vehicle location and pickup point.</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Extras</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Waiting time, airport meet-and-greet, decorations or approved add-ons.</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Discount/tax</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Authorised discount and configurable applicable tax fields.</w:t>
            </w:r>
          </w:p>
        </w:tc>
      </w:tr>
    </w:tbl>
    <w:p>
      <w:pPr>
        <w:spacing w:after="0"/>
      </w:pPr>
    </w:p>
    <w:p>
      <w:pPr>
        <w:pStyle w:val="Callout"/>
        <w:shd w:fill="F5F8FB"/>
      </w:pPr>
      <w:r>
        <w:rPr>
          <w:b/>
        </w:rPr>
        <w:t xml:space="preserve">Control. </w:t>
      </w:r>
      <w:r>
        <w:t>The MVP may generate an estimate automatically, but operations must be able to revise it before confirmation. Every revision must retain the previous amount, editor, timestamp and reason.</w:t>
      </w:r>
    </w:p>
    <w:p>
      <w:r>
        <w:br w:type="page"/>
      </w:r>
    </w:p>
    <w:p>
      <w:pPr>
        <w:pStyle w:val="Heading1"/>
      </w:pPr>
      <w:r>
        <w:t>4. End-to-end booking workflow</w:t>
      </w:r>
    </w:p>
    <w:p>
      <w:pPr>
        <w:pStyle w:val="ListNumber"/>
        <w:spacing w:after="80" w:line="300" w:lineRule="auto"/>
        <w:ind w:left="540" w:hanging="271"/>
      </w:pPr>
      <w:r>
        <w:t>Customer searches or submits a booking request with pickup, destination, date, time, passengers, service type and preferences.</w:t>
      </w:r>
    </w:p>
    <w:p>
      <w:pPr>
        <w:pStyle w:val="ListNumber"/>
        <w:spacing w:after="80" w:line="300" w:lineRule="auto"/>
        <w:ind w:left="540" w:hanging="271"/>
      </w:pPr>
      <w:r>
        <w:t>System checks candidate vehicles by hub, service area and provisional availability.</w:t>
      </w:r>
    </w:p>
    <w:p>
      <w:pPr>
        <w:pStyle w:val="ListNumber"/>
        <w:spacing w:after="80" w:line="300" w:lineRule="auto"/>
        <w:ind w:left="540" w:hanging="271"/>
      </w:pPr>
      <w:r>
        <w:t>System creates an estimate or routes the request to operations for pricing.</w:t>
      </w:r>
    </w:p>
    <w:p>
      <w:pPr>
        <w:pStyle w:val="ListNumber"/>
        <w:spacing w:after="80" w:line="300" w:lineRule="auto"/>
        <w:ind w:left="540" w:hanging="271"/>
      </w:pPr>
      <w:r>
        <w:t>Customer submits contact information, identification and any required itinerary details.</w:t>
      </w:r>
    </w:p>
    <w:p>
      <w:pPr>
        <w:pStyle w:val="ListNumber"/>
        <w:spacing w:after="80" w:line="300" w:lineRule="auto"/>
        <w:ind w:left="540" w:hanging="271"/>
      </w:pPr>
      <w:r>
        <w:t>Operations reviews the customer, route, vehicle, chauffeur feasibility and commercial terms.</w:t>
      </w:r>
    </w:p>
    <w:p>
      <w:pPr>
        <w:pStyle w:val="ListNumber"/>
        <w:spacing w:after="80" w:line="300" w:lineRule="auto"/>
        <w:ind w:left="540" w:hanging="271"/>
      </w:pPr>
      <w:r>
        <w:t>Customer receives a time-limited quote and accepts it.</w:t>
      </w:r>
    </w:p>
    <w:p>
      <w:pPr>
        <w:pStyle w:val="ListNumber"/>
        <w:spacing w:after="80" w:line="300" w:lineRule="auto"/>
        <w:ind w:left="540" w:hanging="271"/>
      </w:pPr>
      <w:r>
        <w:t>Customer pays the required amount using an enabled payment method; finance may verify manual transfers.</w:t>
      </w:r>
    </w:p>
    <w:p>
      <w:pPr>
        <w:pStyle w:val="ListNumber"/>
        <w:spacing w:after="80" w:line="300" w:lineRule="auto"/>
        <w:ind w:left="540" w:hanging="271"/>
      </w:pPr>
      <w:r>
        <w:t>System confirms the booking only after the configured approval and payment conditions are met.</w:t>
      </w:r>
    </w:p>
    <w:p>
      <w:pPr>
        <w:pStyle w:val="ListNumber"/>
        <w:spacing w:after="80" w:line="300" w:lineRule="auto"/>
        <w:ind w:left="540" w:hanging="271"/>
      </w:pPr>
      <w:r>
        <w:t>Operations assigns a vehicle and chauffeur and sends controlled trip details.</w:t>
      </w:r>
    </w:p>
    <w:p>
      <w:pPr>
        <w:pStyle w:val="ListNumber"/>
        <w:spacing w:after="80" w:line="300" w:lineRule="auto"/>
        <w:ind w:left="540" w:hanging="271"/>
      </w:pPr>
      <w:r>
        <w:t>Chauffeur records acceptance, arrival, passenger onboard, milestones where required and completion.</w:t>
      </w:r>
    </w:p>
    <w:p>
      <w:pPr>
        <w:pStyle w:val="ListNumber"/>
        <w:spacing w:after="80" w:line="300" w:lineRule="auto"/>
        <w:ind w:left="540" w:hanging="271"/>
      </w:pPr>
      <w:r>
        <w:t>Operations reviews expenses, incidents, overtime and final charges, then closes the trip.</w:t>
      </w:r>
    </w:p>
    <w:p>
      <w:pPr>
        <w:pStyle w:val="ListNumber"/>
        <w:spacing w:after="80" w:line="300" w:lineRule="auto"/>
        <w:ind w:left="540" w:hanging="271"/>
      </w:pPr>
      <w:r>
        <w:t>System posts revenue, partner earnings and chauffeur allowances to their respective ledgers.</w:t>
      </w:r>
    </w:p>
    <w:p>
      <w:pPr>
        <w:pStyle w:val="ListNumber"/>
        <w:spacing w:after="80" w:line="300" w:lineRule="auto"/>
        <w:ind w:left="540" w:hanging="271"/>
      </w:pPr>
      <w:r>
        <w:t>Finance approves eligible refunds and partner/chauffeur payouts and marks them paid.</w:t>
      </w:r>
    </w:p>
    <w:p>
      <w:pPr>
        <w:pStyle w:val="Heading2"/>
      </w:pPr>
      <w:r>
        <w:t>4.1 Booking statuses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40" w:line="269" w:lineRule="auto"/>
            </w:pPr>
            <w:r>
              <w:rPr>
                <w:rFonts w:ascii="Calibri" w:hAnsi="Calibri"/>
                <w:b/>
                <w:sz w:val="19"/>
              </w:rPr>
              <w:t>Status</w:t>
            </w:r>
          </w:p>
        </w:tc>
        <w:tc>
          <w:tcPr>
            <w:tcW w:type="dxa" w:w="6760"/>
            <w:shd w:fill="E8EEF5"/>
            <w:tcMar>
              <w:top w:w="80" w:type="dxa"/>
              <w:start w:w="120" w:type="dxa"/>
              <w:bottom w:w="80" w:type="dxa"/>
              <w:end w:w="120" w:type="dxa"/>
            </w:tcMar>
            <w:vAlign w:val="center"/>
          </w:tcPr>
          <w:p>
            <w:pPr>
              <w:spacing w:after="40" w:line="269" w:lineRule="auto"/>
            </w:pPr>
            <w:r>
              <w:rPr>
                <w:rFonts w:ascii="Calibri" w:hAnsi="Calibri"/>
                <w:b/>
                <w:sz w:val="19"/>
              </w:rPr>
              <w:t>Meaning / allowed transition</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Draft</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Customer has started but not submitted a request.</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Requested</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Request submitted; awaiting review or quote.</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Quoted</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Price issued with an expiry time.</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Awaiting payment</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Quote accepted; required payment not yet confirmed.</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Pending approval</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Payment/details received but an internal approval remains.</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Confirmed</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Commercial and operational conditions satisfied.</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Assigned</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Vehicle and chauffeur allocated.</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Chauffeur en route</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Chauffeur travelling to pickup.</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Arrived</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Chauffeur at pickup point.</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In progress</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Passenger onboard / service commenced.</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Completed</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Chauffeur ended trip; financial review may remain.</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Closed</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Final charges and ledgers approved.</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Cancelled / declined / no-show</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Terminal exception with reason and financial treatment.</w:t>
            </w:r>
          </w:p>
        </w:tc>
      </w:tr>
    </w:tbl>
    <w:p>
      <w:pPr>
        <w:spacing w:after="0"/>
      </w:pPr>
    </w:p>
    <w:p>
      <w:pPr>
        <w:pStyle w:val="Heading2"/>
      </w:pPr>
      <w:r>
        <w:t>4.2 Conflict prevention</w:t>
      </w:r>
    </w:p>
    <w:p>
      <w:pPr>
        <w:pStyle w:val="ListBullet"/>
        <w:spacing w:after="80" w:line="300" w:lineRule="auto"/>
        <w:ind w:left="540" w:hanging="271"/>
      </w:pPr>
      <w:r>
        <w:t>A confirmed or assigned booking blocks the vehicle for the trip plus configurable preparation/return buffer.</w:t>
      </w:r>
    </w:p>
    <w:p>
      <w:pPr>
        <w:pStyle w:val="ListBullet"/>
        <w:spacing w:after="80" w:line="300" w:lineRule="auto"/>
        <w:ind w:left="540" w:hanging="271"/>
      </w:pPr>
      <w:r>
        <w:t>A chauffeur cannot accept overlapping assignments, including travel time between bookings.</w:t>
      </w:r>
    </w:p>
    <w:p>
      <w:pPr>
        <w:pStyle w:val="ListBullet"/>
        <w:spacing w:after="80" w:line="300" w:lineRule="auto"/>
        <w:ind w:left="540" w:hanging="271"/>
      </w:pPr>
      <w:r>
        <w:t>A short provisional hold may be used while a customer completes payment; it must expire automatically.</w:t>
      </w:r>
    </w:p>
    <w:p>
      <w:pPr>
        <w:pStyle w:val="ListBullet"/>
        <w:spacing w:after="80" w:line="300" w:lineRule="auto"/>
        <w:ind w:left="540" w:hanging="271"/>
      </w:pPr>
      <w:r>
        <w:t>Operations receives a visible warning before overriding any availability conflict; overrides require a reason and administrator permission.</w:t>
      </w:r>
    </w:p>
    <w:p>
      <w:pPr>
        <w:pStyle w:val="Heading1"/>
      </w:pPr>
      <w:r>
        <w:t>5. Functional requirements</w:t>
      </w:r>
    </w:p>
    <w:p>
      <w:pPr>
        <w:pStyle w:val="Heading2"/>
      </w:pPr>
      <w:r>
        <w:t>5.1 Customer experience</w:t>
      </w:r>
    </w:p>
    <w:p>
      <w:pPr>
        <w:pStyle w:val="ListBullet"/>
        <w:spacing w:after="80" w:line="300" w:lineRule="auto"/>
        <w:ind w:left="540" w:hanging="271"/>
      </w:pPr>
      <w:r>
        <w:t>Responsive fleet catalogue with category, model, passenger/luggage capacity, amenities, hub, images and starting price or request-quote label.</w:t>
      </w:r>
    </w:p>
    <w:p>
      <w:pPr>
        <w:pStyle w:val="ListBullet"/>
        <w:spacing w:after="80" w:line="300" w:lineRule="auto"/>
        <w:ind w:left="540" w:hanging="271"/>
      </w:pPr>
      <w:r>
        <w:t>Search by service type, pickup area, destination, date, time and vehicle category.</w:t>
      </w:r>
    </w:p>
    <w:p>
      <w:pPr>
        <w:pStyle w:val="ListBullet"/>
        <w:spacing w:after="80" w:line="300" w:lineRule="auto"/>
        <w:ind w:left="540" w:hanging="271"/>
      </w:pPr>
      <w:r>
        <w:t>Account creation using email or phone verification, with a guest enquiry option.</w:t>
      </w:r>
    </w:p>
    <w:p>
      <w:pPr>
        <w:pStyle w:val="ListBullet"/>
        <w:spacing w:after="80" w:line="300" w:lineRule="auto"/>
        <w:ind w:left="540" w:hanging="271"/>
      </w:pPr>
      <w:r>
        <w:t>Secure upload of identification and supporting itinerary documents.</w:t>
      </w:r>
    </w:p>
    <w:p>
      <w:pPr>
        <w:pStyle w:val="ListBullet"/>
        <w:spacing w:after="80" w:line="300" w:lineRule="auto"/>
        <w:ind w:left="540" w:hanging="271"/>
      </w:pPr>
      <w:r>
        <w:t>Quote view showing inclusions, exclusions, expiry, payment schedule and cancellation terms.</w:t>
      </w:r>
    </w:p>
    <w:p>
      <w:pPr>
        <w:pStyle w:val="ListBullet"/>
        <w:spacing w:after="80" w:line="300" w:lineRule="auto"/>
        <w:ind w:left="540" w:hanging="271"/>
      </w:pPr>
      <w:r>
        <w:t>Online acceptance of terms with timestamp, IP/device metadata and retained document version.</w:t>
      </w:r>
    </w:p>
    <w:p>
      <w:pPr>
        <w:pStyle w:val="ListBullet"/>
        <w:spacing w:after="80" w:line="300" w:lineRule="auto"/>
        <w:ind w:left="540" w:hanging="271"/>
      </w:pPr>
      <w:r>
        <w:t>Payment initiation or bank-transfer evidence submission; payment status must never rely only on a customer screenshot.</w:t>
      </w:r>
    </w:p>
    <w:p>
      <w:pPr>
        <w:pStyle w:val="ListBullet"/>
        <w:spacing w:after="80" w:line="300" w:lineRule="auto"/>
        <w:ind w:left="540" w:hanging="271"/>
      </w:pPr>
      <w:r>
        <w:t>Booking timeline, chauffeur details released at the configured time, receipts and support contact.</w:t>
      </w:r>
    </w:p>
    <w:p>
      <w:pPr>
        <w:pStyle w:val="Heading2"/>
      </w:pPr>
      <w:r>
        <w:t>5.2 Operations and administrator dashboard</w:t>
      </w:r>
    </w:p>
    <w:p>
      <w:pPr>
        <w:pStyle w:val="ListBullet"/>
        <w:spacing w:after="80" w:line="300" w:lineRule="auto"/>
        <w:ind w:left="540" w:hanging="271"/>
      </w:pPr>
      <w:r>
        <w:t>Unified booking calendar and queue filtered by hub, status, date, vehicle, chauffeur and partner.</w:t>
      </w:r>
    </w:p>
    <w:p>
      <w:pPr>
        <w:pStyle w:val="ListBullet"/>
        <w:spacing w:after="80" w:line="300" w:lineRule="auto"/>
        <w:ind w:left="540" w:hanging="271"/>
      </w:pPr>
      <w:r>
        <w:t>Manual quote builder with reusable pricing rules, controlled discounts and quote version history.</w:t>
      </w:r>
    </w:p>
    <w:p>
      <w:pPr>
        <w:pStyle w:val="ListBullet"/>
        <w:spacing w:after="80" w:line="300" w:lineRule="auto"/>
        <w:ind w:left="540" w:hanging="271"/>
      </w:pPr>
      <w:r>
        <w:t>Vehicle and chauffeur assignment with overlap validation.</w:t>
      </w:r>
    </w:p>
    <w:p>
      <w:pPr>
        <w:pStyle w:val="ListBullet"/>
        <w:spacing w:after="80" w:line="300" w:lineRule="auto"/>
        <w:ind w:left="540" w:hanging="271"/>
      </w:pPr>
      <w:r>
        <w:t>Configurable service areas, routes, notice periods, buffers, cancellation rules and notification templates.</w:t>
      </w:r>
    </w:p>
    <w:p>
      <w:pPr>
        <w:pStyle w:val="ListBullet"/>
        <w:spacing w:after="80" w:line="300" w:lineRule="auto"/>
        <w:ind w:left="540" w:hanging="271"/>
      </w:pPr>
      <w:r>
        <w:t>Customer profile with booking history, verification notes, incidents and internal risk flags.</w:t>
      </w:r>
    </w:p>
    <w:p>
      <w:pPr>
        <w:pStyle w:val="ListBullet"/>
        <w:spacing w:after="80" w:line="300" w:lineRule="auto"/>
        <w:ind w:left="540" w:hanging="271"/>
      </w:pPr>
      <w:r>
        <w:t>Incident case record for breakdowns, accidents, complaints, delays and unauthorised changes.</w:t>
      </w:r>
    </w:p>
    <w:p>
      <w:pPr>
        <w:pStyle w:val="ListBullet"/>
        <w:spacing w:after="80" w:line="300" w:lineRule="auto"/>
        <w:ind w:left="540" w:hanging="271"/>
      </w:pPr>
      <w:r>
        <w:t>Dashboard summaries for pending approvals, upcoming trips, overdue events, document expiry and unpaid balances.</w:t>
      </w:r>
    </w:p>
    <w:p>
      <w:pPr>
        <w:pStyle w:val="Heading2"/>
      </w:pPr>
      <w:r>
        <w:t>5.3 Fleet management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40" w:line="269" w:lineRule="auto"/>
            </w:pPr>
            <w:r>
              <w:rPr>
                <w:rFonts w:ascii="Calibri" w:hAnsi="Calibri"/>
                <w:b/>
                <w:sz w:val="19"/>
              </w:rPr>
              <w:t>Record area</w:t>
            </w:r>
          </w:p>
        </w:tc>
        <w:tc>
          <w:tcPr>
            <w:tcW w:type="dxa" w:w="7160"/>
            <w:shd w:fill="E8EEF5"/>
            <w:tcMar>
              <w:top w:w="80" w:type="dxa"/>
              <w:start w:w="120" w:type="dxa"/>
              <w:bottom w:w="80" w:type="dxa"/>
              <w:end w:w="120" w:type="dxa"/>
            </w:tcMar>
            <w:vAlign w:val="center"/>
          </w:tcPr>
          <w:p>
            <w:pPr>
              <w:spacing w:after="40" w:line="269" w:lineRule="auto"/>
            </w:pPr>
            <w:r>
              <w:rPr>
                <w:rFonts w:ascii="Calibri" w:hAnsi="Calibri"/>
                <w:b/>
                <w:sz w:val="19"/>
              </w:rPr>
              <w:t>Minimum fields</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Identity</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Internal ID, owner, registration number, VIN/chassis reference, make, model, year, colour and category.</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Capacity</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Passengers, luggage, amenities and service suitability.</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Location</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Home hub, current hub, pickup zones and interstate eligibility.</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Commercial</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Customer rates, partner commercial model, minimum hire and deposit/payment rules.</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Compliance</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Registration, insurance, roadworthiness and expiry dates with documents.</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Operations</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Available, provisional, booked, on trip, maintenance, suspended or inactive.</w:t>
            </w:r>
          </w:p>
        </w:tc>
      </w:tr>
      <w:tr>
        <w:tc>
          <w:tcPr>
            <w:tcW w:type="dxa" w:w="2200"/>
            <w:tcMar>
              <w:top w:w="80" w:type="dxa"/>
              <w:start w:w="120" w:type="dxa"/>
              <w:bottom w:w="80" w:type="dxa"/>
              <w:end w:w="120" w:type="dxa"/>
            </w:tcMar>
            <w:vAlign w:val="center"/>
          </w:tcPr>
          <w:p>
            <w:pPr>
              <w:spacing w:after="40" w:line="269" w:lineRule="auto"/>
            </w:pPr>
            <w:r>
              <w:rPr>
                <w:rFonts w:ascii="Calibri" w:hAnsi="Calibri"/>
                <w:sz w:val="19"/>
              </w:rPr>
              <w:t>Media</w:t>
            </w:r>
          </w:p>
        </w:tc>
        <w:tc>
          <w:tcPr>
            <w:tcW w:type="dxa" w:w="7160"/>
            <w:tcMar>
              <w:top w:w="80" w:type="dxa"/>
              <w:start w:w="120" w:type="dxa"/>
              <w:bottom w:w="80" w:type="dxa"/>
              <w:end w:w="120" w:type="dxa"/>
            </w:tcMar>
            <w:vAlign w:val="center"/>
          </w:tcPr>
          <w:p>
            <w:pPr>
              <w:spacing w:after="40" w:line="269" w:lineRule="auto"/>
            </w:pPr>
            <w:r>
              <w:rPr>
                <w:rFonts w:ascii="Calibri" w:hAnsi="Calibri"/>
                <w:sz w:val="19"/>
              </w:rPr>
              <w:t>Approved customer-facing photographs and internal condition evidence.</w:t>
            </w:r>
          </w:p>
        </w:tc>
      </w:tr>
    </w:tbl>
    <w:p>
      <w:pPr>
        <w:spacing w:after="0"/>
      </w:pPr>
    </w:p>
    <w:p>
      <w:pPr>
        <w:pStyle w:val="Heading2"/>
      </w:pPr>
      <w:r>
        <w:t>5.4 Partner portal and settlement</w:t>
      </w:r>
    </w:p>
    <w:p>
      <w:pPr>
        <w:pStyle w:val="ListBullet"/>
        <w:spacing w:after="80" w:line="300" w:lineRule="auto"/>
        <w:ind w:left="540" w:hanging="271"/>
      </w:pPr>
      <w:r>
        <w:t>Partner onboarding profile, contacts, banking details and agreement status.</w:t>
      </w:r>
    </w:p>
    <w:p>
      <w:pPr>
        <w:pStyle w:val="ListBullet"/>
        <w:spacing w:after="80" w:line="300" w:lineRule="auto"/>
        <w:ind w:left="540" w:hanging="271"/>
      </w:pPr>
      <w:r>
        <w:t>Vehicle submission with documents and availability; publication requires company approval.</w:t>
      </w:r>
    </w:p>
    <w:p>
      <w:pPr>
        <w:pStyle w:val="ListBullet"/>
        <w:spacing w:after="80" w:line="300" w:lineRule="auto"/>
        <w:ind w:left="540" w:hanging="271"/>
      </w:pPr>
      <w:r>
        <w:t>Per-vehicle commercial configuration: commission percentage, fixed supplier rate or custom formula.</w:t>
      </w:r>
    </w:p>
    <w:p>
      <w:pPr>
        <w:pStyle w:val="ListBullet"/>
        <w:spacing w:after="80" w:line="300" w:lineRule="auto"/>
        <w:ind w:left="540" w:hanging="271"/>
      </w:pPr>
      <w:r>
        <w:t>Partner booking view limited to operational details necessary to fulfil the service.</w:t>
      </w:r>
    </w:p>
    <w:p>
      <w:pPr>
        <w:pStyle w:val="ListBullet"/>
        <w:spacing w:after="80" w:line="300" w:lineRule="auto"/>
        <w:ind w:left="540" w:hanging="271"/>
      </w:pPr>
      <w:r>
        <w:t>Earnings statement showing gross booking reference, permitted expenses, deductions, net payable and payout status.</w:t>
      </w:r>
    </w:p>
    <w:p>
      <w:pPr>
        <w:pStyle w:val="ListBullet"/>
        <w:spacing w:after="80" w:line="300" w:lineRule="auto"/>
        <w:ind w:left="540" w:hanging="271"/>
      </w:pPr>
      <w:r>
        <w:t>Dispute flag and internal review before settlement adjustment.</w:t>
      </w:r>
    </w:p>
    <w:p>
      <w:pPr>
        <w:pStyle w:val="Heading2"/>
      </w:pPr>
      <w:r>
        <w:t>5.5 Chauffeur portal</w:t>
      </w:r>
    </w:p>
    <w:p>
      <w:pPr>
        <w:pStyle w:val="ListBullet"/>
        <w:spacing w:after="80" w:line="300" w:lineRule="auto"/>
        <w:ind w:left="540" w:hanging="271"/>
      </w:pPr>
      <w:r>
        <w:t>Secure login and profile with licence, emergency contact, training status, assigned hub and availability.</w:t>
      </w:r>
    </w:p>
    <w:p>
      <w:pPr>
        <w:pStyle w:val="ListBullet"/>
        <w:spacing w:after="80" w:line="300" w:lineRule="auto"/>
        <w:ind w:left="540" w:hanging="271"/>
      </w:pPr>
      <w:r>
        <w:t>Assignment offer with response deadline; acceptance does not bypass operations confirmation.</w:t>
      </w:r>
    </w:p>
    <w:p>
      <w:pPr>
        <w:pStyle w:val="ListBullet"/>
        <w:spacing w:after="80" w:line="300" w:lineRule="auto"/>
        <w:ind w:left="540" w:hanging="271"/>
      </w:pPr>
      <w:r>
        <w:t>Trip view containing pickup, itinerary, authorised contacts, vehicle and special instructions.</w:t>
      </w:r>
    </w:p>
    <w:p>
      <w:pPr>
        <w:pStyle w:val="ListBullet"/>
        <w:spacing w:after="80" w:line="300" w:lineRule="auto"/>
        <w:ind w:left="540" w:hanging="271"/>
      </w:pPr>
      <w:r>
        <w:t>One-tap status events: accepted, en route, arrived, passenger onboard and completed.</w:t>
      </w:r>
    </w:p>
    <w:p>
      <w:pPr>
        <w:pStyle w:val="ListBullet"/>
        <w:spacing w:after="80" w:line="300" w:lineRule="auto"/>
        <w:ind w:left="540" w:hanging="271"/>
      </w:pPr>
      <w:r>
        <w:t>Expense submission with category, amount, note and receipt image.</w:t>
      </w:r>
    </w:p>
    <w:p>
      <w:pPr>
        <w:pStyle w:val="ListBullet"/>
        <w:spacing w:after="80" w:line="300" w:lineRule="auto"/>
        <w:ind w:left="540" w:hanging="271"/>
      </w:pPr>
      <w:r>
        <w:t>Incident reporting with location, narrative, photos and emergency escalation contact.</w:t>
      </w:r>
    </w:p>
    <w:p>
      <w:pPr>
        <w:pStyle w:val="Heading2"/>
      </w:pPr>
      <w:r>
        <w:t>5.6 Finance</w:t>
      </w:r>
    </w:p>
    <w:p>
      <w:pPr>
        <w:pStyle w:val="ListBullet"/>
        <w:spacing w:after="80" w:line="300" w:lineRule="auto"/>
        <w:ind w:left="540" w:hanging="271"/>
      </w:pPr>
      <w:r>
        <w:t>Payment ledger with amount, method, provider reference, payer, status and reconciliation notes.</w:t>
      </w:r>
    </w:p>
    <w:p>
      <w:pPr>
        <w:pStyle w:val="ListBullet"/>
        <w:spacing w:after="80" w:line="300" w:lineRule="auto"/>
        <w:ind w:left="540" w:hanging="271"/>
      </w:pPr>
      <w:r>
        <w:t>Support for deposit, part payment, balance, additional charge, refund and manual adjustment.</w:t>
      </w:r>
    </w:p>
    <w:p>
      <w:pPr>
        <w:pStyle w:val="ListBullet"/>
        <w:spacing w:after="80" w:line="300" w:lineRule="auto"/>
        <w:ind w:left="540" w:hanging="271"/>
      </w:pPr>
      <w:r>
        <w:t>Separate customer charge, platform revenue, partner earning, chauffeur allowance and reimbursable expense entries.</w:t>
      </w:r>
    </w:p>
    <w:p>
      <w:pPr>
        <w:pStyle w:val="ListBullet"/>
        <w:spacing w:after="80" w:line="300" w:lineRule="auto"/>
        <w:ind w:left="540" w:hanging="271"/>
      </w:pPr>
      <w:r>
        <w:t>Manual approval for refunds and payouts, with maker-checker controls for high-value transactions where practical.</w:t>
      </w:r>
    </w:p>
    <w:p>
      <w:pPr>
        <w:pStyle w:val="ListBullet"/>
        <w:spacing w:after="80" w:line="300" w:lineRule="auto"/>
        <w:ind w:left="540" w:hanging="271"/>
      </w:pPr>
      <w:r>
        <w:t>Downloadable invoices, receipts, partner statements and CSV report exports.</w:t>
      </w:r>
    </w:p>
    <w:p>
      <w:pPr>
        <w:pStyle w:val="Heading1"/>
      </w:pPr>
      <w:r>
        <w:t>6. Notifications</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E8EEF5"/>
            <w:tcMar>
              <w:top w:w="80" w:type="dxa"/>
              <w:start w:w="120" w:type="dxa"/>
              <w:bottom w:w="80" w:type="dxa"/>
              <w:end w:w="120" w:type="dxa"/>
            </w:tcMar>
            <w:vAlign w:val="center"/>
          </w:tcPr>
          <w:p>
            <w:pPr>
              <w:spacing w:after="40" w:line="269" w:lineRule="auto"/>
            </w:pPr>
            <w:r>
              <w:rPr>
                <w:rFonts w:ascii="Calibri" w:hAnsi="Calibri"/>
                <w:b/>
                <w:sz w:val="19"/>
              </w:rPr>
              <w:t>Trigger</w:t>
            </w:r>
          </w:p>
        </w:tc>
        <w:tc>
          <w:tcPr>
            <w:tcW w:type="dxa" w:w="5960"/>
            <w:shd w:fill="E8EEF5"/>
            <w:tcMar>
              <w:top w:w="80" w:type="dxa"/>
              <w:start w:w="120" w:type="dxa"/>
              <w:bottom w:w="80" w:type="dxa"/>
              <w:end w:w="120" w:type="dxa"/>
            </w:tcMar>
            <w:vAlign w:val="center"/>
          </w:tcPr>
          <w:p>
            <w:pPr>
              <w:spacing w:after="40" w:line="269" w:lineRule="auto"/>
            </w:pPr>
            <w:r>
              <w:rPr>
                <w:rFonts w:ascii="Calibri" w:hAnsi="Calibri"/>
                <w:b/>
                <w:sz w:val="19"/>
              </w:rPr>
              <w:t>Audience and channel</w:t>
            </w:r>
          </w:p>
        </w:tc>
      </w:tr>
      <w:tr>
        <w:tc>
          <w:tcPr>
            <w:tcW w:type="dxa" w:w="3400"/>
            <w:tcMar>
              <w:top w:w="80" w:type="dxa"/>
              <w:start w:w="120" w:type="dxa"/>
              <w:bottom w:w="80" w:type="dxa"/>
              <w:end w:w="120" w:type="dxa"/>
            </w:tcMar>
            <w:vAlign w:val="center"/>
          </w:tcPr>
          <w:p>
            <w:pPr>
              <w:spacing w:after="40" w:line="269" w:lineRule="auto"/>
            </w:pPr>
            <w:r>
              <w:rPr>
                <w:rFonts w:ascii="Calibri" w:hAnsi="Calibri"/>
                <w:sz w:val="19"/>
              </w:rPr>
              <w:t>Request received</w:t>
            </w:r>
          </w:p>
        </w:tc>
        <w:tc>
          <w:tcPr>
            <w:tcW w:type="dxa" w:w="5960"/>
            <w:tcMar>
              <w:top w:w="80" w:type="dxa"/>
              <w:start w:w="120" w:type="dxa"/>
              <w:bottom w:w="80" w:type="dxa"/>
              <w:end w:w="120" w:type="dxa"/>
            </w:tcMar>
            <w:vAlign w:val="center"/>
          </w:tcPr>
          <w:p>
            <w:pPr>
              <w:spacing w:after="40" w:line="269" w:lineRule="auto"/>
            </w:pPr>
            <w:r>
              <w:rPr>
                <w:rFonts w:ascii="Calibri" w:hAnsi="Calibri"/>
                <w:sz w:val="19"/>
              </w:rPr>
              <w:t>Customer confirmation; operations alert.</w:t>
            </w:r>
          </w:p>
        </w:tc>
      </w:tr>
      <w:tr>
        <w:tc>
          <w:tcPr>
            <w:tcW w:type="dxa" w:w="3400"/>
            <w:tcMar>
              <w:top w:w="80" w:type="dxa"/>
              <w:start w:w="120" w:type="dxa"/>
              <w:bottom w:w="80" w:type="dxa"/>
              <w:end w:w="120" w:type="dxa"/>
            </w:tcMar>
            <w:vAlign w:val="center"/>
          </w:tcPr>
          <w:p>
            <w:pPr>
              <w:spacing w:after="40" w:line="269" w:lineRule="auto"/>
            </w:pPr>
            <w:r>
              <w:rPr>
                <w:rFonts w:ascii="Calibri" w:hAnsi="Calibri"/>
                <w:sz w:val="19"/>
              </w:rPr>
              <w:t>Quote issued/expiring</w:t>
            </w:r>
          </w:p>
        </w:tc>
        <w:tc>
          <w:tcPr>
            <w:tcW w:type="dxa" w:w="5960"/>
            <w:tcMar>
              <w:top w:w="80" w:type="dxa"/>
              <w:start w:w="120" w:type="dxa"/>
              <w:bottom w:w="80" w:type="dxa"/>
              <w:end w:w="120" w:type="dxa"/>
            </w:tcMar>
            <w:vAlign w:val="center"/>
          </w:tcPr>
          <w:p>
            <w:pPr>
              <w:spacing w:after="40" w:line="269" w:lineRule="auto"/>
            </w:pPr>
            <w:r>
              <w:rPr>
                <w:rFonts w:ascii="Calibri" w:hAnsi="Calibri"/>
                <w:sz w:val="19"/>
              </w:rPr>
              <w:t>Customer email/SMS/WhatsApp link; operations reminder.</w:t>
            </w:r>
          </w:p>
        </w:tc>
      </w:tr>
      <w:tr>
        <w:tc>
          <w:tcPr>
            <w:tcW w:type="dxa" w:w="3400"/>
            <w:tcMar>
              <w:top w:w="80" w:type="dxa"/>
              <w:start w:w="120" w:type="dxa"/>
              <w:bottom w:w="80" w:type="dxa"/>
              <w:end w:w="120" w:type="dxa"/>
            </w:tcMar>
            <w:vAlign w:val="center"/>
          </w:tcPr>
          <w:p>
            <w:pPr>
              <w:spacing w:after="40" w:line="269" w:lineRule="auto"/>
            </w:pPr>
            <w:r>
              <w:rPr>
                <w:rFonts w:ascii="Calibri" w:hAnsi="Calibri"/>
                <w:sz w:val="19"/>
              </w:rPr>
              <w:t>Payment update</w:t>
            </w:r>
          </w:p>
        </w:tc>
        <w:tc>
          <w:tcPr>
            <w:tcW w:type="dxa" w:w="5960"/>
            <w:tcMar>
              <w:top w:w="80" w:type="dxa"/>
              <w:start w:w="120" w:type="dxa"/>
              <w:bottom w:w="80" w:type="dxa"/>
              <w:end w:w="120" w:type="dxa"/>
            </w:tcMar>
            <w:vAlign w:val="center"/>
          </w:tcPr>
          <w:p>
            <w:pPr>
              <w:spacing w:after="40" w:line="269" w:lineRule="auto"/>
            </w:pPr>
            <w:r>
              <w:rPr>
                <w:rFonts w:ascii="Calibri" w:hAnsi="Calibri"/>
                <w:sz w:val="19"/>
              </w:rPr>
              <w:t>Customer and finance; no sensitive card data in messages.</w:t>
            </w:r>
          </w:p>
        </w:tc>
      </w:tr>
      <w:tr>
        <w:tc>
          <w:tcPr>
            <w:tcW w:type="dxa" w:w="3400"/>
            <w:tcMar>
              <w:top w:w="80" w:type="dxa"/>
              <w:start w:w="120" w:type="dxa"/>
              <w:bottom w:w="80" w:type="dxa"/>
              <w:end w:w="120" w:type="dxa"/>
            </w:tcMar>
            <w:vAlign w:val="center"/>
          </w:tcPr>
          <w:p>
            <w:pPr>
              <w:spacing w:after="40" w:line="269" w:lineRule="auto"/>
            </w:pPr>
            <w:r>
              <w:rPr>
                <w:rFonts w:ascii="Calibri" w:hAnsi="Calibri"/>
                <w:sz w:val="19"/>
              </w:rPr>
              <w:t>Booking confirmed</w:t>
            </w:r>
          </w:p>
        </w:tc>
        <w:tc>
          <w:tcPr>
            <w:tcW w:type="dxa" w:w="5960"/>
            <w:tcMar>
              <w:top w:w="80" w:type="dxa"/>
              <w:start w:w="120" w:type="dxa"/>
              <w:bottom w:w="80" w:type="dxa"/>
              <w:end w:w="120" w:type="dxa"/>
            </w:tcMar>
            <w:vAlign w:val="center"/>
          </w:tcPr>
          <w:p>
            <w:pPr>
              <w:spacing w:after="40" w:line="269" w:lineRule="auto"/>
            </w:pPr>
            <w:r>
              <w:rPr>
                <w:rFonts w:ascii="Calibri" w:hAnsi="Calibri"/>
                <w:sz w:val="19"/>
              </w:rPr>
              <w:t>Customer, operations and relevant partner.</w:t>
            </w:r>
          </w:p>
        </w:tc>
      </w:tr>
      <w:tr>
        <w:tc>
          <w:tcPr>
            <w:tcW w:type="dxa" w:w="3400"/>
            <w:tcMar>
              <w:top w:w="80" w:type="dxa"/>
              <w:start w:w="120" w:type="dxa"/>
              <w:bottom w:w="80" w:type="dxa"/>
              <w:end w:w="120" w:type="dxa"/>
            </w:tcMar>
            <w:vAlign w:val="center"/>
          </w:tcPr>
          <w:p>
            <w:pPr>
              <w:spacing w:after="40" w:line="269" w:lineRule="auto"/>
            </w:pPr>
            <w:r>
              <w:rPr>
                <w:rFonts w:ascii="Calibri" w:hAnsi="Calibri"/>
                <w:sz w:val="19"/>
              </w:rPr>
              <w:t>Assignment</w:t>
            </w:r>
          </w:p>
        </w:tc>
        <w:tc>
          <w:tcPr>
            <w:tcW w:type="dxa" w:w="5960"/>
            <w:tcMar>
              <w:top w:w="80" w:type="dxa"/>
              <w:start w:w="120" w:type="dxa"/>
              <w:bottom w:w="80" w:type="dxa"/>
              <w:end w:w="120" w:type="dxa"/>
            </w:tcMar>
            <w:vAlign w:val="center"/>
          </w:tcPr>
          <w:p>
            <w:pPr>
              <w:spacing w:after="40" w:line="269" w:lineRule="auto"/>
            </w:pPr>
            <w:r>
              <w:rPr>
                <w:rFonts w:ascii="Calibri" w:hAnsi="Calibri"/>
                <w:sz w:val="19"/>
              </w:rPr>
              <w:t>Chauffeur; customer details released according to policy.</w:t>
            </w:r>
          </w:p>
        </w:tc>
      </w:tr>
      <w:tr>
        <w:tc>
          <w:tcPr>
            <w:tcW w:type="dxa" w:w="3400"/>
            <w:tcMar>
              <w:top w:w="80" w:type="dxa"/>
              <w:start w:w="120" w:type="dxa"/>
              <w:bottom w:w="80" w:type="dxa"/>
              <w:end w:w="120" w:type="dxa"/>
            </w:tcMar>
            <w:vAlign w:val="center"/>
          </w:tcPr>
          <w:p>
            <w:pPr>
              <w:spacing w:after="40" w:line="269" w:lineRule="auto"/>
            </w:pPr>
            <w:r>
              <w:rPr>
                <w:rFonts w:ascii="Calibri" w:hAnsi="Calibri"/>
                <w:sz w:val="19"/>
              </w:rPr>
              <w:t>Upcoming trip</w:t>
            </w:r>
          </w:p>
        </w:tc>
        <w:tc>
          <w:tcPr>
            <w:tcW w:type="dxa" w:w="5960"/>
            <w:tcMar>
              <w:top w:w="80" w:type="dxa"/>
              <w:start w:w="120" w:type="dxa"/>
              <w:bottom w:w="80" w:type="dxa"/>
              <w:end w:w="120" w:type="dxa"/>
            </w:tcMar>
            <w:vAlign w:val="center"/>
          </w:tcPr>
          <w:p>
            <w:pPr>
              <w:spacing w:after="40" w:line="269" w:lineRule="auto"/>
            </w:pPr>
            <w:r>
              <w:rPr>
                <w:rFonts w:ascii="Calibri" w:hAnsi="Calibri"/>
                <w:sz w:val="19"/>
              </w:rPr>
              <w:t>Customer, chauffeur and operations at configured intervals.</w:t>
            </w:r>
          </w:p>
        </w:tc>
      </w:tr>
      <w:tr>
        <w:tc>
          <w:tcPr>
            <w:tcW w:type="dxa" w:w="3400"/>
            <w:tcMar>
              <w:top w:w="80" w:type="dxa"/>
              <w:start w:w="120" w:type="dxa"/>
              <w:bottom w:w="80" w:type="dxa"/>
              <w:end w:w="120" w:type="dxa"/>
            </w:tcMar>
            <w:vAlign w:val="center"/>
          </w:tcPr>
          <w:p>
            <w:pPr>
              <w:spacing w:after="40" w:line="269" w:lineRule="auto"/>
            </w:pPr>
            <w:r>
              <w:rPr>
                <w:rFonts w:ascii="Calibri" w:hAnsi="Calibri"/>
                <w:sz w:val="19"/>
              </w:rPr>
              <w:t>Status exception</w:t>
            </w:r>
          </w:p>
        </w:tc>
        <w:tc>
          <w:tcPr>
            <w:tcW w:type="dxa" w:w="5960"/>
            <w:tcMar>
              <w:top w:w="80" w:type="dxa"/>
              <w:start w:w="120" w:type="dxa"/>
              <w:bottom w:w="80" w:type="dxa"/>
              <w:end w:w="120" w:type="dxa"/>
            </w:tcMar>
            <w:vAlign w:val="center"/>
          </w:tcPr>
          <w:p>
            <w:pPr>
              <w:spacing w:after="40" w:line="269" w:lineRule="auto"/>
            </w:pPr>
            <w:r>
              <w:rPr>
                <w:rFonts w:ascii="Calibri" w:hAnsi="Calibri"/>
                <w:sz w:val="19"/>
              </w:rPr>
              <w:t>Operations for late acceptance, late arrival or overdue completion.</w:t>
            </w:r>
          </w:p>
        </w:tc>
      </w:tr>
      <w:tr>
        <w:tc>
          <w:tcPr>
            <w:tcW w:type="dxa" w:w="3400"/>
            <w:tcMar>
              <w:top w:w="80" w:type="dxa"/>
              <w:start w:w="120" w:type="dxa"/>
              <w:bottom w:w="80" w:type="dxa"/>
              <w:end w:w="120" w:type="dxa"/>
            </w:tcMar>
            <w:vAlign w:val="center"/>
          </w:tcPr>
          <w:p>
            <w:pPr>
              <w:spacing w:after="40" w:line="269" w:lineRule="auto"/>
            </w:pPr>
            <w:r>
              <w:rPr>
                <w:rFonts w:ascii="Calibri" w:hAnsi="Calibri"/>
                <w:sz w:val="19"/>
              </w:rPr>
              <w:t>Trip closed</w:t>
            </w:r>
          </w:p>
        </w:tc>
        <w:tc>
          <w:tcPr>
            <w:tcW w:type="dxa" w:w="5960"/>
            <w:tcMar>
              <w:top w:w="80" w:type="dxa"/>
              <w:start w:w="120" w:type="dxa"/>
              <w:bottom w:w="80" w:type="dxa"/>
              <w:end w:w="120" w:type="dxa"/>
            </w:tcMar>
            <w:vAlign w:val="center"/>
          </w:tcPr>
          <w:p>
            <w:pPr>
              <w:spacing w:after="40" w:line="269" w:lineRule="auto"/>
            </w:pPr>
            <w:r>
              <w:rPr>
                <w:rFonts w:ascii="Calibri" w:hAnsi="Calibri"/>
                <w:sz w:val="19"/>
              </w:rPr>
              <w:t>Customer receipt; partner/chauffeur ledger update.</w:t>
            </w:r>
          </w:p>
        </w:tc>
      </w:tr>
      <w:tr>
        <w:tc>
          <w:tcPr>
            <w:tcW w:type="dxa" w:w="3400"/>
            <w:tcMar>
              <w:top w:w="80" w:type="dxa"/>
              <w:start w:w="120" w:type="dxa"/>
              <w:bottom w:w="80" w:type="dxa"/>
              <w:end w:w="120" w:type="dxa"/>
            </w:tcMar>
            <w:vAlign w:val="center"/>
          </w:tcPr>
          <w:p>
            <w:pPr>
              <w:spacing w:after="40" w:line="269" w:lineRule="auto"/>
            </w:pPr>
            <w:r>
              <w:rPr>
                <w:rFonts w:ascii="Calibri" w:hAnsi="Calibri"/>
                <w:sz w:val="19"/>
              </w:rPr>
              <w:t>Document expiry</w:t>
            </w:r>
          </w:p>
        </w:tc>
        <w:tc>
          <w:tcPr>
            <w:tcW w:type="dxa" w:w="5960"/>
            <w:tcMar>
              <w:top w:w="80" w:type="dxa"/>
              <w:start w:w="120" w:type="dxa"/>
              <w:bottom w:w="80" w:type="dxa"/>
              <w:end w:w="120" w:type="dxa"/>
            </w:tcMar>
            <w:vAlign w:val="center"/>
          </w:tcPr>
          <w:p>
            <w:pPr>
              <w:spacing w:after="40" w:line="269" w:lineRule="auto"/>
            </w:pPr>
            <w:r>
              <w:rPr>
                <w:rFonts w:ascii="Calibri" w:hAnsi="Calibri"/>
                <w:sz w:val="19"/>
              </w:rPr>
              <w:t>Partner/operations in advance of suspension date.</w:t>
            </w:r>
          </w:p>
        </w:tc>
      </w:tr>
    </w:tbl>
    <w:p>
      <w:pPr>
        <w:spacing w:after="0"/>
      </w:pPr>
    </w:p>
    <w:p>
      <w:pPr>
        <w:pStyle w:val="Callout"/>
        <w:shd w:fill="F5F8FB"/>
      </w:pPr>
      <w:r>
        <w:rPr>
          <w:b/>
        </w:rPr>
        <w:t xml:space="preserve">MVP delivery choice. </w:t>
      </w:r>
      <w:r>
        <w:t>Use email plus one cost-controlled messaging channel initially. WhatsApp integration should be included only if provider setup, template approval and recurring fees fit the launch budget.</w:t>
      </w:r>
    </w:p>
    <w:p>
      <w:pPr>
        <w:pStyle w:val="Heading1"/>
      </w:pPr>
      <w:r>
        <w:t>7. Data and security requirements</w:t>
      </w:r>
    </w:p>
    <w:p>
      <w:pPr>
        <w:pStyle w:val="ListBullet"/>
        <w:spacing w:after="80" w:line="300" w:lineRule="auto"/>
        <w:ind w:left="540" w:hanging="271"/>
      </w:pPr>
      <w:r>
        <w:t>Encrypt all traffic using HTTPS and use managed encryption for stored data and files.</w:t>
      </w:r>
    </w:p>
    <w:p>
      <w:pPr>
        <w:pStyle w:val="ListBullet"/>
        <w:spacing w:after="80" w:line="300" w:lineRule="auto"/>
        <w:ind w:left="540" w:hanging="271"/>
      </w:pPr>
      <w:r>
        <w:t>Do not store raw card numbers, CVVs or banking credentials; use a compliant payment provider.</w:t>
      </w:r>
    </w:p>
    <w:p>
      <w:pPr>
        <w:pStyle w:val="ListBullet"/>
        <w:spacing w:after="80" w:line="300" w:lineRule="auto"/>
        <w:ind w:left="540" w:hanging="271"/>
      </w:pPr>
      <w:r>
        <w:t>Require strong passwords and multi-factor authentication for administrator and finance roles.</w:t>
      </w:r>
    </w:p>
    <w:p>
      <w:pPr>
        <w:pStyle w:val="ListBullet"/>
        <w:spacing w:after="80" w:line="300" w:lineRule="auto"/>
        <w:ind w:left="540" w:hanging="271"/>
      </w:pPr>
      <w:r>
        <w:t>Apply role-based access, least privilege and automatic session expiry.</w:t>
      </w:r>
    </w:p>
    <w:p>
      <w:pPr>
        <w:pStyle w:val="ListBullet"/>
        <w:spacing w:after="80" w:line="300" w:lineRule="auto"/>
        <w:ind w:left="540" w:hanging="271"/>
      </w:pPr>
      <w:r>
        <w:t>Maintain immutable audit events for approvals, quote edits, payment status changes, assignments, refunds and payouts.</w:t>
      </w:r>
    </w:p>
    <w:p>
      <w:pPr>
        <w:pStyle w:val="ListBullet"/>
        <w:spacing w:after="80" w:line="300" w:lineRule="auto"/>
        <w:ind w:left="540" w:hanging="271"/>
      </w:pPr>
      <w:r>
        <w:t>Use private document storage with short-lived signed links; never expose identity documents through public URLs.</w:t>
      </w:r>
    </w:p>
    <w:p>
      <w:pPr>
        <w:pStyle w:val="ListBullet"/>
        <w:spacing w:after="80" w:line="300" w:lineRule="auto"/>
        <w:ind w:left="540" w:hanging="271"/>
      </w:pPr>
      <w:r>
        <w:t>Define retention and deletion periods for identity, trip, financial and GPS/location data.</w:t>
      </w:r>
    </w:p>
    <w:p>
      <w:pPr>
        <w:pStyle w:val="ListBullet"/>
        <w:spacing w:after="80" w:line="300" w:lineRule="auto"/>
        <w:ind w:left="540" w:hanging="271"/>
      </w:pPr>
      <w:r>
        <w:t>Create daily automated backups and test restoration before launch.</w:t>
      </w:r>
    </w:p>
    <w:p>
      <w:pPr>
        <w:pStyle w:val="ListBullet"/>
        <w:spacing w:after="80" w:line="300" w:lineRule="auto"/>
        <w:ind w:left="540" w:hanging="271"/>
      </w:pPr>
      <w:r>
        <w:t>Log security events and establish an incident response contact and procedure.</w:t>
      </w:r>
    </w:p>
    <w:p>
      <w:pPr>
        <w:pStyle w:val="ListBullet"/>
        <w:spacing w:after="80" w:line="300" w:lineRule="auto"/>
        <w:ind w:left="540" w:hanging="271"/>
      </w:pPr>
      <w:r>
        <w:t>Provide customer privacy notice, consent records and a process for data-access/deletion requests where legally applicable.</w:t>
      </w:r>
    </w:p>
    <w:p>
      <w:pPr>
        <w:pStyle w:val="Callout"/>
        <w:shd w:fill="F5F8FB"/>
      </w:pPr>
      <w:r>
        <w:rPr>
          <w:b/>
        </w:rPr>
        <w:t xml:space="preserve">Compliance checkpoint. </w:t>
      </w:r>
      <w:r>
        <w:t>Before launch, Nigerian counsel and the selected insurance, payment and privacy advisers should validate applicable company, transport, tax, consumer, data-protection and interstate operating obligations. This product document is not legal advice.</w:t>
      </w:r>
    </w:p>
    <w:p>
      <w:pPr>
        <w:pStyle w:val="Heading1"/>
      </w:pPr>
      <w:r>
        <w:t>8. Non-functional requirements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80" w:type="dxa"/>
              <w:start w:w="120" w:type="dxa"/>
              <w:bottom w:w="80" w:type="dxa"/>
              <w:end w:w="120" w:type="dxa"/>
            </w:tcMar>
            <w:vAlign w:val="center"/>
          </w:tcPr>
          <w:p>
            <w:pPr>
              <w:spacing w:after="40" w:line="269" w:lineRule="auto"/>
            </w:pPr>
            <w:r>
              <w:rPr>
                <w:rFonts w:ascii="Calibri" w:hAnsi="Calibri"/>
                <w:b/>
                <w:sz w:val="19"/>
              </w:rPr>
              <w:t>Area</w:t>
            </w:r>
          </w:p>
        </w:tc>
        <w:tc>
          <w:tcPr>
            <w:tcW w:type="dxa" w:w="7060"/>
            <w:shd w:fill="E8EEF5"/>
            <w:tcMar>
              <w:top w:w="80" w:type="dxa"/>
              <w:start w:w="120" w:type="dxa"/>
              <w:bottom w:w="80" w:type="dxa"/>
              <w:end w:w="120" w:type="dxa"/>
            </w:tcMar>
            <w:vAlign w:val="center"/>
          </w:tcPr>
          <w:p>
            <w:pPr>
              <w:spacing w:after="40" w:line="269" w:lineRule="auto"/>
            </w:pPr>
            <w:r>
              <w:rPr>
                <w:rFonts w:ascii="Calibri" w:hAnsi="Calibri"/>
                <w:b/>
                <w:sz w:val="19"/>
              </w:rPr>
              <w:t>MVP requirement</w:t>
            </w:r>
          </w:p>
        </w:tc>
      </w:tr>
      <w:tr>
        <w:tc>
          <w:tcPr>
            <w:tcW w:type="dxa" w:w="2300"/>
            <w:tcMar>
              <w:top w:w="80" w:type="dxa"/>
              <w:start w:w="120" w:type="dxa"/>
              <w:bottom w:w="80" w:type="dxa"/>
              <w:end w:w="120" w:type="dxa"/>
            </w:tcMar>
            <w:vAlign w:val="center"/>
          </w:tcPr>
          <w:p>
            <w:pPr>
              <w:spacing w:after="40" w:line="269" w:lineRule="auto"/>
            </w:pPr>
            <w:r>
              <w:rPr>
                <w:rFonts w:ascii="Calibri" w:hAnsi="Calibri"/>
                <w:sz w:val="19"/>
              </w:rPr>
              <w:t>Responsive design</w:t>
            </w:r>
          </w:p>
        </w:tc>
        <w:tc>
          <w:tcPr>
            <w:tcW w:type="dxa" w:w="7060"/>
            <w:tcMar>
              <w:top w:w="80" w:type="dxa"/>
              <w:start w:w="120" w:type="dxa"/>
              <w:bottom w:w="80" w:type="dxa"/>
              <w:end w:w="120" w:type="dxa"/>
            </w:tcMar>
            <w:vAlign w:val="center"/>
          </w:tcPr>
          <w:p>
            <w:pPr>
              <w:spacing w:after="40" w:line="269" w:lineRule="auto"/>
            </w:pPr>
            <w:r>
              <w:rPr>
                <w:rFonts w:ascii="Calibri" w:hAnsi="Calibri"/>
                <w:sz w:val="19"/>
              </w:rPr>
              <w:t>Usable on current mobile browsers from 360 px width upward and on desktop.</w:t>
            </w:r>
          </w:p>
        </w:tc>
      </w:tr>
      <w:tr>
        <w:tc>
          <w:tcPr>
            <w:tcW w:type="dxa" w:w="2300"/>
            <w:tcMar>
              <w:top w:w="80" w:type="dxa"/>
              <w:start w:w="120" w:type="dxa"/>
              <w:bottom w:w="80" w:type="dxa"/>
              <w:end w:w="120" w:type="dxa"/>
            </w:tcMar>
            <w:vAlign w:val="center"/>
          </w:tcPr>
          <w:p>
            <w:pPr>
              <w:spacing w:after="40" w:line="269" w:lineRule="auto"/>
            </w:pPr>
            <w:r>
              <w:rPr>
                <w:rFonts w:ascii="Calibri" w:hAnsi="Calibri"/>
                <w:sz w:val="19"/>
              </w:rPr>
              <w:t>Performance</w:t>
            </w:r>
          </w:p>
        </w:tc>
        <w:tc>
          <w:tcPr>
            <w:tcW w:type="dxa" w:w="7060"/>
            <w:tcMar>
              <w:top w:w="80" w:type="dxa"/>
              <w:start w:w="120" w:type="dxa"/>
              <w:bottom w:w="80" w:type="dxa"/>
              <w:end w:w="120" w:type="dxa"/>
            </w:tcMar>
            <w:vAlign w:val="center"/>
          </w:tcPr>
          <w:p>
            <w:pPr>
              <w:spacing w:after="40" w:line="269" w:lineRule="auto"/>
            </w:pPr>
            <w:r>
              <w:rPr>
                <w:rFonts w:ascii="Calibri" w:hAnsi="Calibri"/>
                <w:sz w:val="19"/>
              </w:rPr>
              <w:t>Core authenticated pages should normally load within 3 seconds on a stable 4G connection.</w:t>
            </w:r>
          </w:p>
        </w:tc>
      </w:tr>
      <w:tr>
        <w:tc>
          <w:tcPr>
            <w:tcW w:type="dxa" w:w="2300"/>
            <w:tcMar>
              <w:top w:w="80" w:type="dxa"/>
              <w:start w:w="120" w:type="dxa"/>
              <w:bottom w:w="80" w:type="dxa"/>
              <w:end w:w="120" w:type="dxa"/>
            </w:tcMar>
            <w:vAlign w:val="center"/>
          </w:tcPr>
          <w:p>
            <w:pPr>
              <w:spacing w:after="40" w:line="269" w:lineRule="auto"/>
            </w:pPr>
            <w:r>
              <w:rPr>
                <w:rFonts w:ascii="Calibri" w:hAnsi="Calibri"/>
                <w:sz w:val="19"/>
              </w:rPr>
              <w:t>Availability</w:t>
            </w:r>
          </w:p>
        </w:tc>
        <w:tc>
          <w:tcPr>
            <w:tcW w:type="dxa" w:w="7060"/>
            <w:tcMar>
              <w:top w:w="80" w:type="dxa"/>
              <w:start w:w="120" w:type="dxa"/>
              <w:bottom w:w="80" w:type="dxa"/>
              <w:end w:w="120" w:type="dxa"/>
            </w:tcMar>
            <w:vAlign w:val="center"/>
          </w:tcPr>
          <w:p>
            <w:pPr>
              <w:spacing w:after="40" w:line="269" w:lineRule="auto"/>
            </w:pPr>
            <w:r>
              <w:rPr>
                <w:rFonts w:ascii="Calibri" w:hAnsi="Calibri"/>
                <w:sz w:val="19"/>
              </w:rPr>
              <w:t>Target 99.5% monthly availability excluding scheduled maintenance.</w:t>
            </w:r>
          </w:p>
        </w:tc>
      </w:tr>
      <w:tr>
        <w:tc>
          <w:tcPr>
            <w:tcW w:type="dxa" w:w="2300"/>
            <w:tcMar>
              <w:top w:w="80" w:type="dxa"/>
              <w:start w:w="120" w:type="dxa"/>
              <w:bottom w:w="80" w:type="dxa"/>
              <w:end w:w="120" w:type="dxa"/>
            </w:tcMar>
            <w:vAlign w:val="center"/>
          </w:tcPr>
          <w:p>
            <w:pPr>
              <w:spacing w:after="40" w:line="269" w:lineRule="auto"/>
            </w:pPr>
            <w:r>
              <w:rPr>
                <w:rFonts w:ascii="Calibri" w:hAnsi="Calibri"/>
                <w:sz w:val="19"/>
              </w:rPr>
              <w:t>Accessibility</w:t>
            </w:r>
          </w:p>
        </w:tc>
        <w:tc>
          <w:tcPr>
            <w:tcW w:type="dxa" w:w="7060"/>
            <w:tcMar>
              <w:top w:w="80" w:type="dxa"/>
              <w:start w:w="120" w:type="dxa"/>
              <w:bottom w:w="80" w:type="dxa"/>
              <w:end w:w="120" w:type="dxa"/>
            </w:tcMar>
            <w:vAlign w:val="center"/>
          </w:tcPr>
          <w:p>
            <w:pPr>
              <w:spacing w:after="40" w:line="269" w:lineRule="auto"/>
            </w:pPr>
            <w:r>
              <w:rPr>
                <w:rFonts w:ascii="Calibri" w:hAnsi="Calibri"/>
                <w:sz w:val="19"/>
              </w:rPr>
              <w:t>Keyboard navigation, labelled fields, readable contrast and helpful validation errors.</w:t>
            </w:r>
          </w:p>
        </w:tc>
      </w:tr>
      <w:tr>
        <w:tc>
          <w:tcPr>
            <w:tcW w:type="dxa" w:w="2300"/>
            <w:tcMar>
              <w:top w:w="80" w:type="dxa"/>
              <w:start w:w="120" w:type="dxa"/>
              <w:bottom w:w="80" w:type="dxa"/>
              <w:end w:w="120" w:type="dxa"/>
            </w:tcMar>
            <w:vAlign w:val="center"/>
          </w:tcPr>
          <w:p>
            <w:pPr>
              <w:spacing w:after="40" w:line="269" w:lineRule="auto"/>
            </w:pPr>
            <w:r>
              <w:rPr>
                <w:rFonts w:ascii="Calibri" w:hAnsi="Calibri"/>
                <w:sz w:val="19"/>
              </w:rPr>
              <w:t>Reliability</w:t>
            </w:r>
          </w:p>
        </w:tc>
        <w:tc>
          <w:tcPr>
            <w:tcW w:type="dxa" w:w="7060"/>
            <w:tcMar>
              <w:top w:w="80" w:type="dxa"/>
              <w:start w:w="120" w:type="dxa"/>
              <w:bottom w:w="80" w:type="dxa"/>
              <w:end w:w="120" w:type="dxa"/>
            </w:tcMar>
            <w:vAlign w:val="center"/>
          </w:tcPr>
          <w:p>
            <w:pPr>
              <w:spacing w:after="40" w:line="269" w:lineRule="auto"/>
            </w:pPr>
            <w:r>
              <w:rPr>
                <w:rFonts w:ascii="Calibri" w:hAnsi="Calibri"/>
                <w:sz w:val="19"/>
              </w:rPr>
              <w:t>Idempotent payment callbacks and protection against duplicate booking/ledger events.</w:t>
            </w:r>
          </w:p>
        </w:tc>
      </w:tr>
      <w:tr>
        <w:tc>
          <w:tcPr>
            <w:tcW w:type="dxa" w:w="2300"/>
            <w:tcMar>
              <w:top w:w="80" w:type="dxa"/>
              <w:start w:w="120" w:type="dxa"/>
              <w:bottom w:w="80" w:type="dxa"/>
              <w:end w:w="120" w:type="dxa"/>
            </w:tcMar>
            <w:vAlign w:val="center"/>
          </w:tcPr>
          <w:p>
            <w:pPr>
              <w:spacing w:after="40" w:line="269" w:lineRule="auto"/>
            </w:pPr>
            <w:r>
              <w:rPr>
                <w:rFonts w:ascii="Calibri" w:hAnsi="Calibri"/>
                <w:sz w:val="19"/>
              </w:rPr>
              <w:t>Scalability</w:t>
            </w:r>
          </w:p>
        </w:tc>
        <w:tc>
          <w:tcPr>
            <w:tcW w:type="dxa" w:w="7060"/>
            <w:tcMar>
              <w:top w:w="80" w:type="dxa"/>
              <w:start w:w="120" w:type="dxa"/>
              <w:bottom w:w="80" w:type="dxa"/>
              <w:end w:w="120" w:type="dxa"/>
            </w:tcMar>
            <w:vAlign w:val="center"/>
          </w:tcPr>
          <w:p>
            <w:pPr>
              <w:spacing w:after="40" w:line="269" w:lineRule="auto"/>
            </w:pPr>
            <w:r>
              <w:rPr>
                <w:rFonts w:ascii="Calibri" w:hAnsi="Calibri"/>
                <w:sz w:val="19"/>
              </w:rPr>
              <w:t>Add hubs, states, vehicles, partners and pricing rules without code changes.</w:t>
            </w:r>
          </w:p>
        </w:tc>
      </w:tr>
      <w:tr>
        <w:tc>
          <w:tcPr>
            <w:tcW w:type="dxa" w:w="2300"/>
            <w:tcMar>
              <w:top w:w="80" w:type="dxa"/>
              <w:start w:w="120" w:type="dxa"/>
              <w:bottom w:w="80" w:type="dxa"/>
              <w:end w:w="120" w:type="dxa"/>
            </w:tcMar>
            <w:vAlign w:val="center"/>
          </w:tcPr>
          <w:p>
            <w:pPr>
              <w:spacing w:after="40" w:line="269" w:lineRule="auto"/>
            </w:pPr>
            <w:r>
              <w:rPr>
                <w:rFonts w:ascii="Calibri" w:hAnsi="Calibri"/>
                <w:sz w:val="19"/>
              </w:rPr>
              <w:t>Observability</w:t>
            </w:r>
          </w:p>
        </w:tc>
        <w:tc>
          <w:tcPr>
            <w:tcW w:type="dxa" w:w="7060"/>
            <w:tcMar>
              <w:top w:w="80" w:type="dxa"/>
              <w:start w:w="120" w:type="dxa"/>
              <w:bottom w:w="80" w:type="dxa"/>
              <w:end w:w="120" w:type="dxa"/>
            </w:tcMar>
            <w:vAlign w:val="center"/>
          </w:tcPr>
          <w:p>
            <w:pPr>
              <w:spacing w:after="40" w:line="269" w:lineRule="auto"/>
            </w:pPr>
            <w:r>
              <w:rPr>
                <w:rFonts w:ascii="Calibri" w:hAnsi="Calibri"/>
                <w:sz w:val="19"/>
              </w:rPr>
              <w:t>Error logging, uptime monitoring and administrator-visible failed integration events.</w:t>
            </w:r>
          </w:p>
        </w:tc>
      </w:tr>
      <w:tr>
        <w:tc>
          <w:tcPr>
            <w:tcW w:type="dxa" w:w="2300"/>
            <w:tcMar>
              <w:top w:w="80" w:type="dxa"/>
              <w:start w:w="120" w:type="dxa"/>
              <w:bottom w:w="80" w:type="dxa"/>
              <w:end w:w="120" w:type="dxa"/>
            </w:tcMar>
            <w:vAlign w:val="center"/>
          </w:tcPr>
          <w:p>
            <w:pPr>
              <w:spacing w:after="40" w:line="269" w:lineRule="auto"/>
            </w:pPr>
            <w:r>
              <w:rPr>
                <w:rFonts w:ascii="Calibri" w:hAnsi="Calibri"/>
                <w:sz w:val="19"/>
              </w:rPr>
              <w:t>Compatibility</w:t>
            </w:r>
          </w:p>
        </w:tc>
        <w:tc>
          <w:tcPr>
            <w:tcW w:type="dxa" w:w="7060"/>
            <w:tcMar>
              <w:top w:w="80" w:type="dxa"/>
              <w:start w:w="120" w:type="dxa"/>
              <w:bottom w:w="80" w:type="dxa"/>
              <w:end w:w="120" w:type="dxa"/>
            </w:tcMar>
            <w:vAlign w:val="center"/>
          </w:tcPr>
          <w:p>
            <w:pPr>
              <w:spacing w:after="40" w:line="269" w:lineRule="auto"/>
            </w:pPr>
            <w:r>
              <w:rPr>
                <w:rFonts w:ascii="Calibri" w:hAnsi="Calibri"/>
                <w:sz w:val="19"/>
              </w:rPr>
              <w:t>Current Chrome, Edge and Safari; installable shortcut/PWA behaviour is desirable.</w:t>
            </w:r>
          </w:p>
        </w:tc>
      </w:tr>
    </w:tbl>
    <w:p>
      <w:pPr>
        <w:spacing w:after="0"/>
      </w:pPr>
    </w:p>
    <w:p>
      <w:pPr>
        <w:pStyle w:val="Heading1"/>
      </w:pPr>
      <w:r>
        <w:t>9. Core data model</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40" w:line="269" w:lineRule="auto"/>
            </w:pPr>
            <w:r>
              <w:rPr>
                <w:rFonts w:ascii="Calibri" w:hAnsi="Calibri"/>
                <w:b/>
                <w:sz w:val="19"/>
              </w:rPr>
              <w:t>Entity</w:t>
            </w:r>
          </w:p>
        </w:tc>
        <w:tc>
          <w:tcPr>
            <w:tcW w:type="dxa" w:w="6860"/>
            <w:shd w:fill="E8EEF5"/>
            <w:tcMar>
              <w:top w:w="80" w:type="dxa"/>
              <w:start w:w="120" w:type="dxa"/>
              <w:bottom w:w="80" w:type="dxa"/>
              <w:end w:w="120" w:type="dxa"/>
            </w:tcMar>
            <w:vAlign w:val="center"/>
          </w:tcPr>
          <w:p>
            <w:pPr>
              <w:spacing w:after="40" w:line="269" w:lineRule="auto"/>
            </w:pPr>
            <w:r>
              <w:rPr>
                <w:rFonts w:ascii="Calibri" w:hAnsi="Calibri"/>
                <w:b/>
                <w:sz w:val="19"/>
              </w:rPr>
              <w:t>Purpose</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User and role</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Identity, authentication, permissions and account status.</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Customer</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Contact, verification, preferences, history and internal flags.</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Partner</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Organisation/person, agreement, banking and settlement configuration.</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Vehicle</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Ownership, specification, hub, documents, rates and operational status.</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Chauffeur</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Profile, licence, hub, availability, status and assignments.</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Booking</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Service request, itinerary, customer, status, quote and trip references.</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Quote</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Versioned line items, totals, expiry, terms and approval record.</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Availability block</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Vehicle/chauffeur resource, start/end, buffer, source and status.</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Payment</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Provider reference, amount, purpose, method, status and timestamps.</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Trip event</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Status, time, actor, optional location and evidence.</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Expense/incident</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Category, amount/details, evidence, approval and financial treatment.</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Ledger/payout</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Beneficiary, booking link, components, adjustments and payout status.</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Document</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Type, owner, secure location, expiry and review status.</w:t>
            </w:r>
          </w:p>
        </w:tc>
      </w:tr>
      <w:tr>
        <w:tc>
          <w:tcPr>
            <w:tcW w:type="dxa" w:w="2500"/>
            <w:tcMar>
              <w:top w:w="80" w:type="dxa"/>
              <w:start w:w="120" w:type="dxa"/>
              <w:bottom w:w="80" w:type="dxa"/>
              <w:end w:w="120" w:type="dxa"/>
            </w:tcMar>
            <w:vAlign w:val="center"/>
          </w:tcPr>
          <w:p>
            <w:pPr>
              <w:spacing w:after="40" w:line="269" w:lineRule="auto"/>
            </w:pPr>
            <w:r>
              <w:rPr>
                <w:rFonts w:ascii="Calibri" w:hAnsi="Calibri"/>
                <w:sz w:val="19"/>
              </w:rPr>
              <w:t>Audit event</w:t>
            </w:r>
          </w:p>
        </w:tc>
        <w:tc>
          <w:tcPr>
            <w:tcW w:type="dxa" w:w="6860"/>
            <w:tcMar>
              <w:top w:w="80" w:type="dxa"/>
              <w:start w:w="120" w:type="dxa"/>
              <w:bottom w:w="80" w:type="dxa"/>
              <w:end w:w="120" w:type="dxa"/>
            </w:tcMar>
            <w:vAlign w:val="center"/>
          </w:tcPr>
          <w:p>
            <w:pPr>
              <w:spacing w:after="40" w:line="269" w:lineRule="auto"/>
            </w:pPr>
            <w:r>
              <w:rPr>
                <w:rFonts w:ascii="Calibri" w:hAnsi="Calibri"/>
                <w:sz w:val="19"/>
              </w:rPr>
              <w:t>Actor, action, object, before/after values, time and context.</w:t>
            </w:r>
          </w:p>
        </w:tc>
      </w:tr>
    </w:tbl>
    <w:p>
      <w:pPr>
        <w:spacing w:after="0"/>
      </w:pPr>
    </w:p>
    <w:p>
      <w:pPr>
        <w:pStyle w:val="Heading1"/>
      </w:pPr>
      <w:r>
        <w:t>10. Reports and operational dashboards</w:t>
      </w:r>
    </w:p>
    <w:p>
      <w:pPr>
        <w:pStyle w:val="ListBullet"/>
        <w:spacing w:after="80" w:line="300" w:lineRule="auto"/>
        <w:ind w:left="540" w:hanging="271"/>
      </w:pPr>
      <w:r>
        <w:t>Bookings and revenue by date, hub, vehicle category, ownership type and status.</w:t>
      </w:r>
    </w:p>
    <w:p>
      <w:pPr>
        <w:pStyle w:val="ListBullet"/>
        <w:spacing w:after="80" w:line="300" w:lineRule="auto"/>
        <w:ind w:left="540" w:hanging="271"/>
      </w:pPr>
      <w:r>
        <w:t>Vehicle utilisation and unavailable days.</w:t>
      </w:r>
    </w:p>
    <w:p>
      <w:pPr>
        <w:pStyle w:val="ListBullet"/>
        <w:spacing w:after="80" w:line="300" w:lineRule="auto"/>
        <w:ind w:left="540" w:hanging="271"/>
      </w:pPr>
      <w:r>
        <w:t>Upcoming trips, unassigned bookings and late trip events.</w:t>
      </w:r>
    </w:p>
    <w:p>
      <w:pPr>
        <w:pStyle w:val="ListBullet"/>
        <w:spacing w:after="80" w:line="300" w:lineRule="auto"/>
        <w:ind w:left="540" w:hanging="271"/>
      </w:pPr>
      <w:r>
        <w:t>Amounts received, outstanding balances, refunds and payment exceptions.</w:t>
      </w:r>
    </w:p>
    <w:p>
      <w:pPr>
        <w:pStyle w:val="ListBullet"/>
        <w:spacing w:after="80" w:line="300" w:lineRule="auto"/>
        <w:ind w:left="540" w:hanging="271"/>
      </w:pPr>
      <w:r>
        <w:t>Partner earnings, approved deductions, amounts payable and payout history.</w:t>
      </w:r>
    </w:p>
    <w:p>
      <w:pPr>
        <w:pStyle w:val="ListBullet"/>
        <w:spacing w:after="80" w:line="300" w:lineRule="auto"/>
        <w:ind w:left="540" w:hanging="271"/>
      </w:pPr>
      <w:r>
        <w:t>Chauffeur assignments, allowances, expenses and punctuality exceptions.</w:t>
      </w:r>
    </w:p>
    <w:p>
      <w:pPr>
        <w:pStyle w:val="ListBullet"/>
        <w:spacing w:after="80" w:line="300" w:lineRule="auto"/>
        <w:ind w:left="540" w:hanging="271"/>
      </w:pPr>
      <w:r>
        <w:t>Expiring vehicle, partner and chauffeur documents.</w:t>
      </w:r>
    </w:p>
    <w:p>
      <w:pPr>
        <w:pStyle w:val="ListBullet"/>
        <w:spacing w:after="80" w:line="300" w:lineRule="auto"/>
        <w:ind w:left="540" w:hanging="271"/>
      </w:pPr>
      <w:r>
        <w:t>Cancelled/declined bookings and reason analysis.</w:t>
      </w:r>
    </w:p>
    <w:p>
      <w:pPr>
        <w:pStyle w:val="Heading1"/>
      </w:pPr>
      <w:r>
        <w:t>11. Integration strategy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40" w:line="269" w:lineRule="auto"/>
            </w:pPr>
            <w:r>
              <w:rPr>
                <w:rFonts w:ascii="Calibri" w:hAnsi="Calibri"/>
                <w:b/>
                <w:sz w:val="19"/>
              </w:rPr>
              <w:t>Capability</w:t>
            </w:r>
          </w:p>
        </w:tc>
        <w:tc>
          <w:tcPr>
            <w:tcW w:type="dxa" w:w="6760"/>
            <w:shd w:fill="E8EEF5"/>
            <w:tcMar>
              <w:top w:w="80" w:type="dxa"/>
              <w:start w:w="120" w:type="dxa"/>
              <w:bottom w:w="80" w:type="dxa"/>
              <w:end w:w="120" w:type="dxa"/>
            </w:tcMar>
            <w:vAlign w:val="center"/>
          </w:tcPr>
          <w:p>
            <w:pPr>
              <w:spacing w:after="40" w:line="269" w:lineRule="auto"/>
            </w:pPr>
            <w:r>
              <w:rPr>
                <w:rFonts w:ascii="Calibri" w:hAnsi="Calibri"/>
                <w:b/>
                <w:sz w:val="19"/>
              </w:rPr>
              <w:t>MVP approach</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Payments</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Use one established Nigerian-compatible provider; verify webhooks server-side.</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Maps</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Use address autocomplete and route/distance estimation with manual override.</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Email</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Transactional email provider with delivery logs.</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SMS/WhatsApp</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Optional provider based on cost and approval readiness.</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File storage</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Private cloud object storage with expiring access links.</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Identity verification</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Manual review in MVP; preserve an interface for a later provider.</w:t>
            </w:r>
          </w:p>
        </w:tc>
      </w:tr>
      <w:tr>
        <w:tc>
          <w:tcPr>
            <w:tcW w:type="dxa" w:w="2600"/>
            <w:tcMar>
              <w:top w:w="80" w:type="dxa"/>
              <w:start w:w="120" w:type="dxa"/>
              <w:bottom w:w="80" w:type="dxa"/>
              <w:end w:w="120" w:type="dxa"/>
            </w:tcMar>
            <w:vAlign w:val="center"/>
          </w:tcPr>
          <w:p>
            <w:pPr>
              <w:spacing w:after="40" w:line="269" w:lineRule="auto"/>
            </w:pPr>
            <w:r>
              <w:rPr>
                <w:rFonts w:ascii="Calibri" w:hAnsi="Calibri"/>
                <w:sz w:val="19"/>
              </w:rPr>
              <w:t>Accounting</w:t>
            </w:r>
          </w:p>
        </w:tc>
        <w:tc>
          <w:tcPr>
            <w:tcW w:type="dxa" w:w="6760"/>
            <w:tcMar>
              <w:top w:w="80" w:type="dxa"/>
              <w:start w:w="120" w:type="dxa"/>
              <w:bottom w:w="80" w:type="dxa"/>
              <w:end w:w="120" w:type="dxa"/>
            </w:tcMar>
            <w:vAlign w:val="center"/>
          </w:tcPr>
          <w:p>
            <w:pPr>
              <w:spacing w:after="40" w:line="269" w:lineRule="auto"/>
            </w:pPr>
            <w:r>
              <w:rPr>
                <w:rFonts w:ascii="Calibri" w:hAnsi="Calibri"/>
                <w:sz w:val="19"/>
              </w:rPr>
              <w:t>CSV exports in MVP; direct integration deferred.</w:t>
            </w:r>
          </w:p>
        </w:tc>
      </w:tr>
    </w:tbl>
    <w:p>
      <w:pPr>
        <w:spacing w:after="0"/>
      </w:pPr>
    </w:p>
    <w:p>
      <w:pPr>
        <w:pStyle w:val="Callout"/>
        <w:shd w:fill="F5F8FB"/>
      </w:pPr>
      <w:r>
        <w:rPr>
          <w:b/>
        </w:rPr>
        <w:t xml:space="preserve">Procurement requirement. </w:t>
      </w:r>
      <w:r>
        <w:t>The developer quotation must list all third-party setup charges, transaction fees and recurring monthly costs separately from build cost. Provider names should not be hard-coded into the product design where a replaceable adapter is practical.</w:t>
      </w:r>
    </w:p>
    <w:p>
      <w:pPr>
        <w:pStyle w:val="Heading1"/>
      </w:pPr>
      <w:r>
        <w:t>12. Delivery plan and budget guardrails</w:t>
      </w:r>
    </w:p>
    <w:tbl>
      <w:tblPr>
        <w:tblStyle w:val="TableGrid"/>
        <w:tblW w:type="dxa" w:w="9360"/>
        <w:jc w:val="left"/>
        <w:tblLayout w:type="fixed"/>
        <w:tblLook w:firstColumn="1" w:firstRow="1" w:lastColumn="0" w:lastRow="0" w:noHBand="0" w:noVBand="1" w:val="04A0"/>
        <w:tblInd w:w="120" w:type="dxa"/>
      </w:tblPr>
      <w:tblGrid>
        <w:gridCol w:w="2000"/>
        <w:gridCol w:w="5160"/>
        <w:gridCol w:w="2200"/>
      </w:tblGrid>
      <w:tr>
        <w:trPr>
          <w:tblHeader w:val="true"/>
        </w:trPr>
        <w:tc>
          <w:tcPr>
            <w:tcW w:type="dxa" w:w="2000"/>
            <w:shd w:fill="E8EEF5"/>
            <w:tcMar>
              <w:top w:w="80" w:type="dxa"/>
              <w:start w:w="120" w:type="dxa"/>
              <w:bottom w:w="80" w:type="dxa"/>
              <w:end w:w="120" w:type="dxa"/>
            </w:tcMar>
            <w:vAlign w:val="center"/>
          </w:tcPr>
          <w:p>
            <w:pPr>
              <w:spacing w:after="40" w:line="269" w:lineRule="auto"/>
            </w:pPr>
            <w:r>
              <w:rPr>
                <w:rFonts w:ascii="Calibri" w:hAnsi="Calibri"/>
                <w:b/>
                <w:sz w:val="19"/>
              </w:rPr>
              <w:t>Stage</w:t>
            </w:r>
          </w:p>
        </w:tc>
        <w:tc>
          <w:tcPr>
            <w:tcW w:type="dxa" w:w="5160"/>
            <w:shd w:fill="E8EEF5"/>
            <w:tcMar>
              <w:top w:w="80" w:type="dxa"/>
              <w:start w:w="120" w:type="dxa"/>
              <w:bottom w:w="80" w:type="dxa"/>
              <w:end w:w="120" w:type="dxa"/>
            </w:tcMar>
            <w:vAlign w:val="center"/>
          </w:tcPr>
          <w:p>
            <w:pPr>
              <w:spacing w:after="40" w:line="269" w:lineRule="auto"/>
            </w:pPr>
            <w:r>
              <w:rPr>
                <w:rFonts w:ascii="Calibri" w:hAnsi="Calibri"/>
                <w:b/>
                <w:sz w:val="19"/>
              </w:rPr>
              <w:t>Output</w:t>
            </w:r>
          </w:p>
        </w:tc>
        <w:tc>
          <w:tcPr>
            <w:tcW w:type="dxa" w:w="2200"/>
            <w:shd w:fill="E8EEF5"/>
            <w:tcMar>
              <w:top w:w="80" w:type="dxa"/>
              <w:start w:w="120" w:type="dxa"/>
              <w:bottom w:w="80" w:type="dxa"/>
              <w:end w:w="120" w:type="dxa"/>
            </w:tcMar>
            <w:vAlign w:val="center"/>
          </w:tcPr>
          <w:p>
            <w:pPr>
              <w:spacing w:after="40" w:line="269" w:lineRule="auto"/>
            </w:pPr>
            <w:r>
              <w:rPr>
                <w:rFonts w:ascii="Calibri" w:hAnsi="Calibri"/>
                <w:b/>
                <w:sz w:val="19"/>
              </w:rPr>
              <w:t>Indicative duration</w:t>
            </w:r>
          </w:p>
        </w:tc>
      </w:tr>
      <w:tr>
        <w:tc>
          <w:tcPr>
            <w:tcW w:type="dxa" w:w="2000"/>
            <w:tcMar>
              <w:top w:w="80" w:type="dxa"/>
              <w:start w:w="120" w:type="dxa"/>
              <w:bottom w:w="80" w:type="dxa"/>
              <w:end w:w="120" w:type="dxa"/>
            </w:tcMar>
            <w:vAlign w:val="center"/>
          </w:tcPr>
          <w:p>
            <w:pPr>
              <w:spacing w:after="40" w:line="269" w:lineRule="auto"/>
            </w:pPr>
            <w:r>
              <w:rPr>
                <w:rFonts w:ascii="Calibri" w:hAnsi="Calibri"/>
                <w:sz w:val="19"/>
              </w:rPr>
              <w:t>Discovery</w:t>
            </w:r>
          </w:p>
        </w:tc>
        <w:tc>
          <w:tcPr>
            <w:tcW w:type="dxa" w:w="5160"/>
            <w:tcMar>
              <w:top w:w="80" w:type="dxa"/>
              <w:start w:w="120" w:type="dxa"/>
              <w:bottom w:w="80" w:type="dxa"/>
              <w:end w:w="120" w:type="dxa"/>
            </w:tcMar>
            <w:vAlign w:val="center"/>
          </w:tcPr>
          <w:p>
            <w:pPr>
              <w:spacing w:after="40" w:line="269" w:lineRule="auto"/>
            </w:pPr>
            <w:r>
              <w:rPr>
                <w:rFonts w:ascii="Calibri" w:hAnsi="Calibri"/>
                <w:sz w:val="19"/>
              </w:rPr>
              <w:t>Validated rules, content inventory, data fields and acceptance criteria.</w:t>
            </w:r>
          </w:p>
        </w:tc>
        <w:tc>
          <w:tcPr>
            <w:tcW w:type="dxa" w:w="2200"/>
            <w:tcMar>
              <w:top w:w="80" w:type="dxa"/>
              <w:start w:w="120" w:type="dxa"/>
              <w:bottom w:w="80" w:type="dxa"/>
              <w:end w:w="120" w:type="dxa"/>
            </w:tcMar>
            <w:vAlign w:val="center"/>
          </w:tcPr>
          <w:p>
            <w:pPr>
              <w:spacing w:after="40" w:line="269" w:lineRule="auto"/>
            </w:pPr>
            <w:r>
              <w:rPr>
                <w:rFonts w:ascii="Calibri" w:hAnsi="Calibri"/>
                <w:sz w:val="19"/>
              </w:rPr>
              <w:t>1-2 weeks</w:t>
            </w:r>
          </w:p>
        </w:tc>
      </w:tr>
      <w:tr>
        <w:tc>
          <w:tcPr>
            <w:tcW w:type="dxa" w:w="2000"/>
            <w:tcMar>
              <w:top w:w="80" w:type="dxa"/>
              <w:start w:w="120" w:type="dxa"/>
              <w:bottom w:w="80" w:type="dxa"/>
              <w:end w:w="120" w:type="dxa"/>
            </w:tcMar>
            <w:vAlign w:val="center"/>
          </w:tcPr>
          <w:p>
            <w:pPr>
              <w:spacing w:after="40" w:line="269" w:lineRule="auto"/>
            </w:pPr>
            <w:r>
              <w:rPr>
                <w:rFonts w:ascii="Calibri" w:hAnsi="Calibri"/>
                <w:sz w:val="19"/>
              </w:rPr>
              <w:t>UX/UI design</w:t>
            </w:r>
          </w:p>
        </w:tc>
        <w:tc>
          <w:tcPr>
            <w:tcW w:type="dxa" w:w="5160"/>
            <w:tcMar>
              <w:top w:w="80" w:type="dxa"/>
              <w:start w:w="120" w:type="dxa"/>
              <w:bottom w:w="80" w:type="dxa"/>
              <w:end w:w="120" w:type="dxa"/>
            </w:tcMar>
            <w:vAlign w:val="center"/>
          </w:tcPr>
          <w:p>
            <w:pPr>
              <w:spacing w:after="40" w:line="269" w:lineRule="auto"/>
            </w:pPr>
            <w:r>
              <w:rPr>
                <w:rFonts w:ascii="Calibri" w:hAnsi="Calibri"/>
                <w:sz w:val="19"/>
              </w:rPr>
              <w:t>Mobile-first flows and clickable prototype for priority journeys.</w:t>
            </w:r>
          </w:p>
        </w:tc>
        <w:tc>
          <w:tcPr>
            <w:tcW w:type="dxa" w:w="2200"/>
            <w:tcMar>
              <w:top w:w="80" w:type="dxa"/>
              <w:start w:w="120" w:type="dxa"/>
              <w:bottom w:w="80" w:type="dxa"/>
              <w:end w:w="120" w:type="dxa"/>
            </w:tcMar>
            <w:vAlign w:val="center"/>
          </w:tcPr>
          <w:p>
            <w:pPr>
              <w:spacing w:after="40" w:line="269" w:lineRule="auto"/>
            </w:pPr>
            <w:r>
              <w:rPr>
                <w:rFonts w:ascii="Calibri" w:hAnsi="Calibri"/>
                <w:sz w:val="19"/>
              </w:rPr>
              <w:t>2-3 weeks</w:t>
            </w:r>
          </w:p>
        </w:tc>
      </w:tr>
      <w:tr>
        <w:tc>
          <w:tcPr>
            <w:tcW w:type="dxa" w:w="2000"/>
            <w:tcMar>
              <w:top w:w="80" w:type="dxa"/>
              <w:start w:w="120" w:type="dxa"/>
              <w:bottom w:w="80" w:type="dxa"/>
              <w:end w:w="120" w:type="dxa"/>
            </w:tcMar>
            <w:vAlign w:val="center"/>
          </w:tcPr>
          <w:p>
            <w:pPr>
              <w:spacing w:after="40" w:line="269" w:lineRule="auto"/>
            </w:pPr>
            <w:r>
              <w:rPr>
                <w:rFonts w:ascii="Calibri" w:hAnsi="Calibri"/>
                <w:sz w:val="19"/>
              </w:rPr>
              <w:t>Build</w:t>
            </w:r>
          </w:p>
        </w:tc>
        <w:tc>
          <w:tcPr>
            <w:tcW w:type="dxa" w:w="5160"/>
            <w:tcMar>
              <w:top w:w="80" w:type="dxa"/>
              <w:start w:w="120" w:type="dxa"/>
              <w:bottom w:w="80" w:type="dxa"/>
              <w:end w:w="120" w:type="dxa"/>
            </w:tcMar>
            <w:vAlign w:val="center"/>
          </w:tcPr>
          <w:p>
            <w:pPr>
              <w:spacing w:after="40" w:line="269" w:lineRule="auto"/>
            </w:pPr>
            <w:r>
              <w:rPr>
                <w:rFonts w:ascii="Calibri" w:hAnsi="Calibri"/>
                <w:sz w:val="19"/>
              </w:rPr>
              <w:t>Customer, operations, partner and chauffeur web experiences.</w:t>
            </w:r>
          </w:p>
        </w:tc>
        <w:tc>
          <w:tcPr>
            <w:tcW w:type="dxa" w:w="2200"/>
            <w:tcMar>
              <w:top w:w="80" w:type="dxa"/>
              <w:start w:w="120" w:type="dxa"/>
              <w:bottom w:w="80" w:type="dxa"/>
              <w:end w:w="120" w:type="dxa"/>
            </w:tcMar>
            <w:vAlign w:val="center"/>
          </w:tcPr>
          <w:p>
            <w:pPr>
              <w:spacing w:after="40" w:line="269" w:lineRule="auto"/>
            </w:pPr>
            <w:r>
              <w:rPr>
                <w:rFonts w:ascii="Calibri" w:hAnsi="Calibri"/>
                <w:sz w:val="19"/>
              </w:rPr>
              <w:t>6-9 weeks</w:t>
            </w:r>
          </w:p>
        </w:tc>
      </w:tr>
      <w:tr>
        <w:tc>
          <w:tcPr>
            <w:tcW w:type="dxa" w:w="2000"/>
            <w:tcMar>
              <w:top w:w="80" w:type="dxa"/>
              <w:start w:w="120" w:type="dxa"/>
              <w:bottom w:w="80" w:type="dxa"/>
              <w:end w:w="120" w:type="dxa"/>
            </w:tcMar>
            <w:vAlign w:val="center"/>
          </w:tcPr>
          <w:p>
            <w:pPr>
              <w:spacing w:after="40" w:line="269" w:lineRule="auto"/>
            </w:pPr>
            <w:r>
              <w:rPr>
                <w:rFonts w:ascii="Calibri" w:hAnsi="Calibri"/>
                <w:sz w:val="19"/>
              </w:rPr>
              <w:t>Integration and migration</w:t>
            </w:r>
          </w:p>
        </w:tc>
        <w:tc>
          <w:tcPr>
            <w:tcW w:type="dxa" w:w="5160"/>
            <w:tcMar>
              <w:top w:w="80" w:type="dxa"/>
              <w:start w:w="120" w:type="dxa"/>
              <w:bottom w:w="80" w:type="dxa"/>
              <w:end w:w="120" w:type="dxa"/>
            </w:tcMar>
            <w:vAlign w:val="center"/>
          </w:tcPr>
          <w:p>
            <w:pPr>
              <w:spacing w:after="40" w:line="269" w:lineRule="auto"/>
            </w:pPr>
            <w:r>
              <w:rPr>
                <w:rFonts w:ascii="Calibri" w:hAnsi="Calibri"/>
                <w:sz w:val="19"/>
              </w:rPr>
              <w:t>Payments, messages, fleet seed data and configuration.</w:t>
            </w:r>
          </w:p>
        </w:tc>
        <w:tc>
          <w:tcPr>
            <w:tcW w:type="dxa" w:w="2200"/>
            <w:tcMar>
              <w:top w:w="80" w:type="dxa"/>
              <w:start w:w="120" w:type="dxa"/>
              <w:bottom w:w="80" w:type="dxa"/>
              <w:end w:w="120" w:type="dxa"/>
            </w:tcMar>
            <w:vAlign w:val="center"/>
          </w:tcPr>
          <w:p>
            <w:pPr>
              <w:spacing w:after="40" w:line="269" w:lineRule="auto"/>
            </w:pPr>
            <w:r>
              <w:rPr>
                <w:rFonts w:ascii="Calibri" w:hAnsi="Calibri"/>
                <w:sz w:val="19"/>
              </w:rPr>
              <w:t>2-3 weeks</w:t>
            </w:r>
          </w:p>
        </w:tc>
      </w:tr>
      <w:tr>
        <w:tc>
          <w:tcPr>
            <w:tcW w:type="dxa" w:w="2000"/>
            <w:tcMar>
              <w:top w:w="80" w:type="dxa"/>
              <w:start w:w="120" w:type="dxa"/>
              <w:bottom w:w="80" w:type="dxa"/>
              <w:end w:w="120" w:type="dxa"/>
            </w:tcMar>
            <w:vAlign w:val="center"/>
          </w:tcPr>
          <w:p>
            <w:pPr>
              <w:spacing w:after="40" w:line="269" w:lineRule="auto"/>
            </w:pPr>
            <w:r>
              <w:rPr>
                <w:rFonts w:ascii="Calibri" w:hAnsi="Calibri"/>
                <w:sz w:val="19"/>
              </w:rPr>
              <w:t>Testing and pilot</w:t>
            </w:r>
          </w:p>
        </w:tc>
        <w:tc>
          <w:tcPr>
            <w:tcW w:type="dxa" w:w="5160"/>
            <w:tcMar>
              <w:top w:w="80" w:type="dxa"/>
              <w:start w:w="120" w:type="dxa"/>
              <w:bottom w:w="80" w:type="dxa"/>
              <w:end w:w="120" w:type="dxa"/>
            </w:tcMar>
            <w:vAlign w:val="center"/>
          </w:tcPr>
          <w:p>
            <w:pPr>
              <w:spacing w:after="40" w:line="269" w:lineRule="auto"/>
            </w:pPr>
            <w:r>
              <w:rPr>
                <w:rFonts w:ascii="Calibri" w:hAnsi="Calibri"/>
                <w:sz w:val="19"/>
              </w:rPr>
              <w:t>Security checks, user acceptance, training and controlled live trips.</w:t>
            </w:r>
          </w:p>
        </w:tc>
        <w:tc>
          <w:tcPr>
            <w:tcW w:type="dxa" w:w="2200"/>
            <w:tcMar>
              <w:top w:w="80" w:type="dxa"/>
              <w:start w:w="120" w:type="dxa"/>
              <w:bottom w:w="80" w:type="dxa"/>
              <w:end w:w="120" w:type="dxa"/>
            </w:tcMar>
            <w:vAlign w:val="center"/>
          </w:tcPr>
          <w:p>
            <w:pPr>
              <w:spacing w:after="40" w:line="269" w:lineRule="auto"/>
            </w:pPr>
            <w:r>
              <w:rPr>
                <w:rFonts w:ascii="Calibri" w:hAnsi="Calibri"/>
                <w:sz w:val="19"/>
              </w:rPr>
              <w:t>2-3 weeks</w:t>
            </w:r>
          </w:p>
        </w:tc>
      </w:tr>
      <w:tr>
        <w:tc>
          <w:tcPr>
            <w:tcW w:type="dxa" w:w="2000"/>
            <w:tcMar>
              <w:top w:w="80" w:type="dxa"/>
              <w:start w:w="120" w:type="dxa"/>
              <w:bottom w:w="80" w:type="dxa"/>
              <w:end w:w="120" w:type="dxa"/>
            </w:tcMar>
            <w:vAlign w:val="center"/>
          </w:tcPr>
          <w:p>
            <w:pPr>
              <w:spacing w:after="40" w:line="269" w:lineRule="auto"/>
            </w:pPr>
            <w:r>
              <w:rPr>
                <w:rFonts w:ascii="Calibri" w:hAnsi="Calibri"/>
                <w:sz w:val="19"/>
              </w:rPr>
              <w:t>Launch support</w:t>
            </w:r>
          </w:p>
        </w:tc>
        <w:tc>
          <w:tcPr>
            <w:tcW w:type="dxa" w:w="5160"/>
            <w:tcMar>
              <w:top w:w="80" w:type="dxa"/>
              <w:start w:w="120" w:type="dxa"/>
              <w:bottom w:w="80" w:type="dxa"/>
              <w:end w:w="120" w:type="dxa"/>
            </w:tcMar>
            <w:vAlign w:val="center"/>
          </w:tcPr>
          <w:p>
            <w:pPr>
              <w:spacing w:after="40" w:line="269" w:lineRule="auto"/>
            </w:pPr>
            <w:r>
              <w:rPr>
                <w:rFonts w:ascii="Calibri" w:hAnsi="Calibri"/>
                <w:sz w:val="19"/>
              </w:rPr>
              <w:t>Production monitoring, defect resolution and handover.</w:t>
            </w:r>
          </w:p>
        </w:tc>
        <w:tc>
          <w:tcPr>
            <w:tcW w:type="dxa" w:w="2200"/>
            <w:tcMar>
              <w:top w:w="80" w:type="dxa"/>
              <w:start w:w="120" w:type="dxa"/>
              <w:bottom w:w="80" w:type="dxa"/>
              <w:end w:w="120" w:type="dxa"/>
            </w:tcMar>
            <w:vAlign w:val="center"/>
          </w:tcPr>
          <w:p>
            <w:pPr>
              <w:spacing w:after="40" w:line="269" w:lineRule="auto"/>
            </w:pPr>
            <w:r>
              <w:rPr>
                <w:rFonts w:ascii="Calibri" w:hAnsi="Calibri"/>
                <w:sz w:val="19"/>
              </w:rPr>
              <w:t>2 weeks</w:t>
            </w:r>
          </w:p>
        </w:tc>
      </w:tr>
    </w:tbl>
    <w:p>
      <w:pPr>
        <w:spacing w:after="0"/>
      </w:pPr>
    </w:p>
    <w:p>
      <w:pPr>
        <w:pStyle w:val="Heading2"/>
      </w:pPr>
      <w:r>
        <w:t>12.1 Commercial guardrails</w:t>
      </w:r>
    </w:p>
    <w:p>
      <w:pPr>
        <w:pStyle w:val="ListBullet"/>
        <w:spacing w:after="80" w:line="300" w:lineRule="auto"/>
        <w:ind w:left="540" w:hanging="271"/>
      </w:pPr>
      <w:r>
        <w:t>Use milestone payments tied to demonstrable acceptance criteria, not elapsed time alone.</w:t>
      </w:r>
    </w:p>
    <w:p>
      <w:pPr>
        <w:pStyle w:val="ListBullet"/>
        <w:spacing w:after="80" w:line="300" w:lineRule="auto"/>
        <w:ind w:left="540" w:hanging="271"/>
      </w:pPr>
      <w:r>
        <w:t>Require source-code ownership or an explicit perpetual licence, repository access and deployment documentation.</w:t>
      </w:r>
    </w:p>
    <w:p>
      <w:pPr>
        <w:pStyle w:val="ListBullet"/>
        <w:spacing w:after="80" w:line="300" w:lineRule="auto"/>
        <w:ind w:left="540" w:hanging="271"/>
      </w:pPr>
      <w:r>
        <w:t>Keep the build below NGN 5 million by deferring native apps and advanced automation.</w:t>
      </w:r>
    </w:p>
    <w:p>
      <w:pPr>
        <w:pStyle w:val="ListBullet"/>
        <w:spacing w:after="80" w:line="300" w:lineRule="auto"/>
        <w:ind w:left="540" w:hanging="271"/>
      </w:pPr>
      <w:r>
        <w:t>Reserve 10-15% of the available budget for scope changes, launch defects and essential provider setup.</w:t>
      </w:r>
    </w:p>
    <w:p>
      <w:pPr>
        <w:pStyle w:val="ListBullet"/>
        <w:spacing w:after="80" w:line="300" w:lineRule="auto"/>
        <w:ind w:left="540" w:hanging="271"/>
      </w:pPr>
      <w:r>
        <w:t>Separate one-time development cost from hosting, support and usage-based third-party charges.</w:t>
      </w:r>
    </w:p>
    <w:p>
      <w:pPr>
        <w:pStyle w:val="ListBullet"/>
        <w:spacing w:after="80" w:line="300" w:lineRule="auto"/>
        <w:ind w:left="540" w:hanging="271"/>
      </w:pPr>
      <w:r>
        <w:t>Do not accept a proprietary system that prevents export of customers, vehicles, bookings, payments and ledgers.</w:t>
      </w:r>
    </w:p>
    <w:p>
      <w:pPr>
        <w:pStyle w:val="Heading1"/>
      </w:pPr>
      <w:r>
        <w:t>13. Acceptance criteria</w:t>
      </w:r>
    </w:p>
    <w:p>
      <w:pPr>
        <w:pStyle w:val="ListBullet"/>
        <w:spacing w:after="80" w:line="300" w:lineRule="auto"/>
        <w:ind w:left="540" w:hanging="271"/>
      </w:pPr>
      <w:r>
        <w:t>A customer can submit a complete local or interstate chauffeur-driven booking request on a mobile browser.</w:t>
      </w:r>
    </w:p>
    <w:p>
      <w:pPr>
        <w:pStyle w:val="ListBullet"/>
        <w:spacing w:after="80" w:line="300" w:lineRule="auto"/>
        <w:ind w:left="540" w:hanging="271"/>
      </w:pPr>
      <w:r>
        <w:t>Operations can issue, revise and approve a versioned quote with an audit reason.</w:t>
      </w:r>
    </w:p>
    <w:p>
      <w:pPr>
        <w:pStyle w:val="ListBullet"/>
        <w:spacing w:after="80" w:line="300" w:lineRule="auto"/>
        <w:ind w:left="540" w:hanging="271"/>
      </w:pPr>
      <w:r>
        <w:t>The same vehicle or chauffeur cannot be confirmed for overlapping time windows without an authorised override.</w:t>
      </w:r>
    </w:p>
    <w:p>
      <w:pPr>
        <w:pStyle w:val="ListBullet"/>
        <w:spacing w:after="80" w:line="300" w:lineRule="auto"/>
        <w:ind w:left="540" w:hanging="271"/>
      </w:pPr>
      <w:r>
        <w:t>A payment callback or authorised finance action updates the booking once and creates an auditable payment record.</w:t>
      </w:r>
    </w:p>
    <w:p>
      <w:pPr>
        <w:pStyle w:val="ListBullet"/>
        <w:spacing w:after="80" w:line="300" w:lineRule="auto"/>
        <w:ind w:left="540" w:hanging="271"/>
      </w:pPr>
      <w:r>
        <w:t>Operations can assign a vehicle and chauffeur and release the correct information to each party.</w:t>
      </w:r>
    </w:p>
    <w:p>
      <w:pPr>
        <w:pStyle w:val="ListBullet"/>
        <w:spacing w:after="80" w:line="300" w:lineRule="auto"/>
        <w:ind w:left="540" w:hanging="271"/>
      </w:pPr>
      <w:r>
        <w:t>A chauffeur can update all required trip statuses and submit evidence from a mobile browser.</w:t>
      </w:r>
    </w:p>
    <w:p>
      <w:pPr>
        <w:pStyle w:val="ListBullet"/>
        <w:spacing w:after="80" w:line="300" w:lineRule="auto"/>
        <w:ind w:left="540" w:hanging="271"/>
      </w:pPr>
      <w:r>
        <w:t>Closing a trip creates correct platform, partner and chauffeur ledger entries under all three partner commercial models.</w:t>
      </w:r>
    </w:p>
    <w:p>
      <w:pPr>
        <w:pStyle w:val="ListBullet"/>
        <w:spacing w:after="80" w:line="300" w:lineRule="auto"/>
        <w:ind w:left="540" w:hanging="271"/>
      </w:pPr>
      <w:r>
        <w:t>Finance can approve and record a refund or payout without editing historical source transactions.</w:t>
      </w:r>
    </w:p>
    <w:p>
      <w:pPr>
        <w:pStyle w:val="ListBullet"/>
        <w:spacing w:after="80" w:line="300" w:lineRule="auto"/>
        <w:ind w:left="540" w:hanging="271"/>
      </w:pPr>
      <w:r>
        <w:t>Partners can see only their vehicles, bookings, earnings and documents.</w:t>
      </w:r>
    </w:p>
    <w:p>
      <w:pPr>
        <w:pStyle w:val="ListBullet"/>
        <w:spacing w:after="80" w:line="300" w:lineRule="auto"/>
        <w:ind w:left="540" w:hanging="271"/>
      </w:pPr>
      <w:r>
        <w:t>Administrators can add a new hub, route, vehicle, partner and chauffeur without developer intervention.</w:t>
      </w:r>
    </w:p>
    <w:p>
      <w:pPr>
        <w:pStyle w:val="ListBullet"/>
        <w:spacing w:after="80" w:line="300" w:lineRule="auto"/>
        <w:ind w:left="540" w:hanging="271"/>
      </w:pPr>
      <w:r>
        <w:t>Identity files are inaccessible through public URLs and unauthorised user roles.</w:t>
      </w:r>
    </w:p>
    <w:p>
      <w:pPr>
        <w:pStyle w:val="ListBullet"/>
        <w:spacing w:after="80" w:line="300" w:lineRule="auto"/>
        <w:ind w:left="540" w:hanging="271"/>
      </w:pPr>
      <w:r>
        <w:t>Backups, restoration, monitoring and audit-log retrieval are demonstrated before production launch.</w:t>
      </w:r>
    </w:p>
    <w:p>
      <w:pPr>
        <w:pStyle w:val="Heading1"/>
      </w:pPr>
      <w:r>
        <w:t>14. Required test scenarios</w:t>
      </w:r>
    </w:p>
    <w:p>
      <w:pPr>
        <w:pStyle w:val="ListBullet"/>
        <w:spacing w:after="80" w:line="300" w:lineRule="auto"/>
        <w:ind w:left="540" w:hanging="271"/>
      </w:pPr>
      <w:r>
        <w:t>Local transfer paid online and completed normally.</w:t>
      </w:r>
    </w:p>
    <w:p>
      <w:pPr>
        <w:pStyle w:val="ListBullet"/>
        <w:spacing w:after="80" w:line="300" w:lineRule="auto"/>
        <w:ind w:left="540" w:hanging="271"/>
      </w:pPr>
      <w:r>
        <w:t>Interstate multi-day trip requiring manual price and route approval.</w:t>
      </w:r>
    </w:p>
    <w:p>
      <w:pPr>
        <w:pStyle w:val="ListBullet"/>
        <w:spacing w:after="80" w:line="300" w:lineRule="auto"/>
        <w:ind w:left="540" w:hanging="271"/>
      </w:pPr>
      <w:r>
        <w:t>Quote expires before payment and the provisional vehicle hold releases.</w:t>
      </w:r>
    </w:p>
    <w:p>
      <w:pPr>
        <w:pStyle w:val="ListBullet"/>
        <w:spacing w:after="80" w:line="300" w:lineRule="auto"/>
        <w:ind w:left="540" w:hanging="271"/>
      </w:pPr>
      <w:r>
        <w:t>Payment callback is delivered twice without duplicate booking or ledger entries.</w:t>
      </w:r>
    </w:p>
    <w:p>
      <w:pPr>
        <w:pStyle w:val="ListBullet"/>
        <w:spacing w:after="80" w:line="300" w:lineRule="auto"/>
        <w:ind w:left="540" w:hanging="271"/>
      </w:pPr>
      <w:r>
        <w:t>Partner-owned vehicle uses commission terms; another uses fixed supplier rate; a third uses a custom arrangement.</w:t>
      </w:r>
    </w:p>
    <w:p>
      <w:pPr>
        <w:pStyle w:val="ListBullet"/>
        <w:spacing w:after="80" w:line="300" w:lineRule="auto"/>
        <w:ind w:left="540" w:hanging="271"/>
      </w:pPr>
      <w:r>
        <w:t>Chauffeur rejects an assignment and operations reassigns without exposing the first chauffeur's data.</w:t>
      </w:r>
    </w:p>
    <w:p>
      <w:pPr>
        <w:pStyle w:val="ListBullet"/>
        <w:spacing w:after="80" w:line="300" w:lineRule="auto"/>
        <w:ind w:left="540" w:hanging="271"/>
      </w:pPr>
      <w:r>
        <w:t>Trip incurs approved toll, overtime and overnight allowance adjustments.</w:t>
      </w:r>
    </w:p>
    <w:p>
      <w:pPr>
        <w:pStyle w:val="ListBullet"/>
        <w:spacing w:after="80" w:line="300" w:lineRule="auto"/>
        <w:ind w:left="540" w:hanging="271"/>
      </w:pPr>
      <w:r>
        <w:t>Customer cancels at each major stage and the correct cancellation/refund rule applies.</w:t>
      </w:r>
    </w:p>
    <w:p>
      <w:pPr>
        <w:pStyle w:val="ListBullet"/>
        <w:spacing w:after="80" w:line="300" w:lineRule="auto"/>
        <w:ind w:left="540" w:hanging="271"/>
      </w:pPr>
      <w:r>
        <w:t>Vehicle document expires and the vehicle becomes unavailable for new confirmation.</w:t>
      </w:r>
    </w:p>
    <w:p>
      <w:pPr>
        <w:pStyle w:val="ListBullet"/>
        <w:spacing w:after="80" w:line="300" w:lineRule="auto"/>
        <w:ind w:left="540" w:hanging="271"/>
      </w:pPr>
      <w:r>
        <w:t>Administrator attempts an unauthorised or conflicting override and the audit trail records the outcome.</w:t>
      </w:r>
    </w:p>
    <w:p>
      <w:pPr>
        <w:pStyle w:val="Heading1"/>
      </w:pPr>
      <w:r>
        <w:t>15. Launch readiness checklist</w:t>
      </w:r>
    </w:p>
    <w:p>
      <w:pPr>
        <w:pStyle w:val="ListBullet"/>
        <w:spacing w:after="80" w:line="300" w:lineRule="auto"/>
        <w:ind w:left="540" w:hanging="271"/>
      </w:pPr>
      <w:r>
        <w:t>☐ Business name, branding, domain and support contacts confirmed.</w:t>
      </w:r>
    </w:p>
    <w:p>
      <w:pPr>
        <w:pStyle w:val="ListBullet"/>
        <w:spacing w:after="80" w:line="300" w:lineRule="auto"/>
        <w:ind w:left="540" w:hanging="271"/>
      </w:pPr>
      <w:r>
        <w:t>☐ Fleet, partner, chauffeur and pricing data cleaned and imported.</w:t>
      </w:r>
    </w:p>
    <w:p>
      <w:pPr>
        <w:pStyle w:val="ListBullet"/>
        <w:spacing w:after="80" w:line="300" w:lineRule="auto"/>
        <w:ind w:left="540" w:hanging="271"/>
      </w:pPr>
      <w:r>
        <w:t>☐ Customer terms, privacy notice, cancellation policy and partner agreements legally reviewed.</w:t>
      </w:r>
    </w:p>
    <w:p>
      <w:pPr>
        <w:pStyle w:val="ListBullet"/>
        <w:spacing w:after="80" w:line="300" w:lineRule="auto"/>
        <w:ind w:left="540" w:hanging="271"/>
      </w:pPr>
      <w:r>
        <w:t>☐ Insurance and interstate operating conditions documented in platform rules.</w:t>
      </w:r>
    </w:p>
    <w:p>
      <w:pPr>
        <w:pStyle w:val="ListBullet"/>
        <w:spacing w:after="80" w:line="300" w:lineRule="auto"/>
        <w:ind w:left="540" w:hanging="271"/>
      </w:pPr>
      <w:r>
        <w:t>☐ Payment account, webhook verification, refund process and finance roles tested.</w:t>
      </w:r>
    </w:p>
    <w:p>
      <w:pPr>
        <w:pStyle w:val="ListBullet"/>
        <w:spacing w:after="80" w:line="300" w:lineRule="auto"/>
        <w:ind w:left="540" w:hanging="271"/>
      </w:pPr>
      <w:r>
        <w:t>☐ Production backups restored successfully in a test environment.</w:t>
      </w:r>
    </w:p>
    <w:p>
      <w:pPr>
        <w:pStyle w:val="ListBullet"/>
        <w:spacing w:after="80" w:line="300" w:lineRule="auto"/>
        <w:ind w:left="540" w:hanging="271"/>
      </w:pPr>
      <w:r>
        <w:t>☐ Operations, finance, chauffeurs and partner support users trained.</w:t>
      </w:r>
    </w:p>
    <w:p>
      <w:pPr>
        <w:pStyle w:val="ListBullet"/>
        <w:spacing w:after="80" w:line="300" w:lineRule="auto"/>
        <w:ind w:left="540" w:hanging="271"/>
      </w:pPr>
      <w:r>
        <w:t>☐ At least five controlled pilot trips completed across relevant service types.</w:t>
      </w:r>
    </w:p>
    <w:p>
      <w:pPr>
        <w:pStyle w:val="ListBullet"/>
        <w:spacing w:after="80" w:line="300" w:lineRule="auto"/>
        <w:ind w:left="540" w:hanging="271"/>
      </w:pPr>
      <w:r>
        <w:t>☐ Incident, breakdown and emergency escalation procedures rehearsed.</w:t>
      </w:r>
    </w:p>
    <w:p>
      <w:pPr>
        <w:pStyle w:val="ListBullet"/>
        <w:spacing w:after="80" w:line="300" w:lineRule="auto"/>
        <w:ind w:left="540" w:hanging="271"/>
      </w:pPr>
      <w:r>
        <w:t>☐ Launch support owner, defect triage process and rollback plan agreed.</w:t>
      </w:r>
    </w:p>
    <w:p>
      <w:pPr>
        <w:pStyle w:val="Heading1"/>
      </w:pPr>
      <w:r>
        <w:t>16. Open business decisions</w:t>
      </w:r>
    </w:p>
    <w:tbl>
      <w:tblPr>
        <w:tblStyle w:val="TableGrid"/>
        <w:tblW w:type="dxa" w:w="9360"/>
        <w:jc w:val="left"/>
        <w:tblLayout w:type="fixed"/>
        <w:tblLook w:firstColumn="1" w:firstRow="1" w:lastColumn="0" w:lastRow="0" w:noHBand="0" w:noVBand="1" w:val="04A0"/>
        <w:tblInd w:w="120" w:type="dxa"/>
      </w:tblPr>
      <w:tblGrid>
        <w:gridCol w:w="5700"/>
        <w:gridCol w:w="3660"/>
      </w:tblGrid>
      <w:tr>
        <w:trPr>
          <w:tblHeader w:val="true"/>
        </w:trPr>
        <w:tc>
          <w:tcPr>
            <w:tcW w:type="dxa" w:w="5700"/>
            <w:shd w:fill="E8EEF5"/>
            <w:tcMar>
              <w:top w:w="80" w:type="dxa"/>
              <w:start w:w="120" w:type="dxa"/>
              <w:bottom w:w="80" w:type="dxa"/>
              <w:end w:w="120" w:type="dxa"/>
            </w:tcMar>
            <w:vAlign w:val="center"/>
          </w:tcPr>
          <w:p>
            <w:pPr>
              <w:spacing w:after="40" w:line="269" w:lineRule="auto"/>
            </w:pPr>
            <w:r>
              <w:rPr>
                <w:rFonts w:ascii="Calibri" w:hAnsi="Calibri"/>
                <w:b/>
                <w:sz w:val="19"/>
              </w:rPr>
              <w:t>Decision</w:t>
            </w:r>
          </w:p>
        </w:tc>
        <w:tc>
          <w:tcPr>
            <w:tcW w:type="dxa" w:w="3660"/>
            <w:shd w:fill="E8EEF5"/>
            <w:tcMar>
              <w:top w:w="80" w:type="dxa"/>
              <w:start w:w="120" w:type="dxa"/>
              <w:bottom w:w="80" w:type="dxa"/>
              <w:end w:w="120" w:type="dxa"/>
            </w:tcMar>
            <w:vAlign w:val="center"/>
          </w:tcPr>
          <w:p>
            <w:pPr>
              <w:spacing w:after="40" w:line="269" w:lineRule="auto"/>
            </w:pPr>
            <w:r>
              <w:rPr>
                <w:rFonts w:ascii="Calibri" w:hAnsi="Calibri"/>
                <w:b/>
                <w:sz w:val="19"/>
              </w:rPr>
              <w:t>Owner / required before</w:t>
            </w:r>
          </w:p>
        </w:tc>
      </w:tr>
      <w:tr>
        <w:tc>
          <w:tcPr>
            <w:tcW w:type="dxa" w:w="5700"/>
            <w:tcMar>
              <w:top w:w="80" w:type="dxa"/>
              <w:start w:w="120" w:type="dxa"/>
              <w:bottom w:w="80" w:type="dxa"/>
              <w:end w:w="120" w:type="dxa"/>
            </w:tcMar>
            <w:vAlign w:val="center"/>
          </w:tcPr>
          <w:p>
            <w:pPr>
              <w:spacing w:after="40" w:line="269" w:lineRule="auto"/>
            </w:pPr>
            <w:r>
              <w:rPr>
                <w:rFonts w:ascii="Calibri" w:hAnsi="Calibri"/>
                <w:sz w:val="19"/>
              </w:rPr>
              <w:t>Company and product name, logo and domain</w:t>
            </w:r>
          </w:p>
        </w:tc>
        <w:tc>
          <w:tcPr>
            <w:tcW w:type="dxa" w:w="3660"/>
            <w:tcMar>
              <w:top w:w="80" w:type="dxa"/>
              <w:start w:w="120" w:type="dxa"/>
              <w:bottom w:w="80" w:type="dxa"/>
              <w:end w:w="120" w:type="dxa"/>
            </w:tcMar>
            <w:vAlign w:val="center"/>
          </w:tcPr>
          <w:p>
            <w:pPr>
              <w:spacing w:after="40" w:line="269" w:lineRule="auto"/>
            </w:pPr>
            <w:r>
              <w:rPr>
                <w:rFonts w:ascii="Calibri" w:hAnsi="Calibri"/>
                <w:sz w:val="19"/>
              </w:rPr>
              <w:t>Founder - before UI design</w:t>
            </w:r>
          </w:p>
        </w:tc>
      </w:tr>
      <w:tr>
        <w:tc>
          <w:tcPr>
            <w:tcW w:type="dxa" w:w="5700"/>
            <w:tcMar>
              <w:top w:w="80" w:type="dxa"/>
              <w:start w:w="120" w:type="dxa"/>
              <w:bottom w:w="80" w:type="dxa"/>
              <w:end w:w="120" w:type="dxa"/>
            </w:tcMar>
            <w:vAlign w:val="center"/>
          </w:tcPr>
          <w:p>
            <w:pPr>
              <w:spacing w:after="40" w:line="269" w:lineRule="auto"/>
            </w:pPr>
            <w:r>
              <w:rPr>
                <w:rFonts w:ascii="Calibri" w:hAnsi="Calibri"/>
                <w:sz w:val="19"/>
              </w:rPr>
              <w:t>Exact pickup zones within each hub</w:t>
            </w:r>
          </w:p>
        </w:tc>
        <w:tc>
          <w:tcPr>
            <w:tcW w:type="dxa" w:w="3660"/>
            <w:tcMar>
              <w:top w:w="80" w:type="dxa"/>
              <w:start w:w="120" w:type="dxa"/>
              <w:bottom w:w="80" w:type="dxa"/>
              <w:end w:w="120" w:type="dxa"/>
            </w:tcMar>
            <w:vAlign w:val="center"/>
          </w:tcPr>
          <w:p>
            <w:pPr>
              <w:spacing w:after="40" w:line="269" w:lineRule="auto"/>
            </w:pPr>
            <w:r>
              <w:rPr>
                <w:rFonts w:ascii="Calibri" w:hAnsi="Calibri"/>
                <w:sz w:val="19"/>
              </w:rPr>
              <w:t>Operations - before pricing configuration</w:t>
            </w:r>
          </w:p>
        </w:tc>
      </w:tr>
      <w:tr>
        <w:tc>
          <w:tcPr>
            <w:tcW w:type="dxa" w:w="5700"/>
            <w:tcMar>
              <w:top w:w="80" w:type="dxa"/>
              <w:start w:w="120" w:type="dxa"/>
              <w:bottom w:w="80" w:type="dxa"/>
              <w:end w:w="120" w:type="dxa"/>
            </w:tcMar>
            <w:vAlign w:val="center"/>
          </w:tcPr>
          <w:p>
            <w:pPr>
              <w:spacing w:after="40" w:line="269" w:lineRule="auto"/>
            </w:pPr>
            <w:r>
              <w:rPr>
                <w:rFonts w:ascii="Calibri" w:hAnsi="Calibri"/>
                <w:sz w:val="19"/>
              </w:rPr>
              <w:t>Approved interstate destinations and route rules</w:t>
            </w:r>
          </w:p>
        </w:tc>
        <w:tc>
          <w:tcPr>
            <w:tcW w:type="dxa" w:w="3660"/>
            <w:tcMar>
              <w:top w:w="80" w:type="dxa"/>
              <w:start w:w="120" w:type="dxa"/>
              <w:bottom w:w="80" w:type="dxa"/>
              <w:end w:w="120" w:type="dxa"/>
            </w:tcMar>
            <w:vAlign w:val="center"/>
          </w:tcPr>
          <w:p>
            <w:pPr>
              <w:spacing w:after="40" w:line="269" w:lineRule="auto"/>
            </w:pPr>
            <w:r>
              <w:rPr>
                <w:rFonts w:ascii="Calibri" w:hAnsi="Calibri"/>
                <w:sz w:val="19"/>
              </w:rPr>
              <w:t>Operations/security - before pilot</w:t>
            </w:r>
          </w:p>
        </w:tc>
      </w:tr>
      <w:tr>
        <w:tc>
          <w:tcPr>
            <w:tcW w:type="dxa" w:w="5700"/>
            <w:tcMar>
              <w:top w:w="80" w:type="dxa"/>
              <w:start w:w="120" w:type="dxa"/>
              <w:bottom w:w="80" w:type="dxa"/>
              <w:end w:w="120" w:type="dxa"/>
            </w:tcMar>
            <w:vAlign w:val="center"/>
          </w:tcPr>
          <w:p>
            <w:pPr>
              <w:spacing w:after="40" w:line="269" w:lineRule="auto"/>
            </w:pPr>
            <w:r>
              <w:rPr>
                <w:rFonts w:ascii="Calibri" w:hAnsi="Calibri"/>
                <w:sz w:val="19"/>
              </w:rPr>
              <w:t>Vehicle categories and customer-facing catalogue fields</w:t>
            </w:r>
          </w:p>
        </w:tc>
        <w:tc>
          <w:tcPr>
            <w:tcW w:type="dxa" w:w="3660"/>
            <w:tcMar>
              <w:top w:w="80" w:type="dxa"/>
              <w:start w:w="120" w:type="dxa"/>
              <w:bottom w:w="80" w:type="dxa"/>
              <w:end w:w="120" w:type="dxa"/>
            </w:tcMar>
            <w:vAlign w:val="center"/>
          </w:tcPr>
          <w:p>
            <w:pPr>
              <w:spacing w:after="40" w:line="269" w:lineRule="auto"/>
            </w:pPr>
            <w:r>
              <w:rPr>
                <w:rFonts w:ascii="Calibri" w:hAnsi="Calibri"/>
                <w:sz w:val="19"/>
              </w:rPr>
              <w:t>Fleet lead - before UI design</w:t>
            </w:r>
          </w:p>
        </w:tc>
      </w:tr>
      <w:tr>
        <w:tc>
          <w:tcPr>
            <w:tcW w:type="dxa" w:w="5700"/>
            <w:tcMar>
              <w:top w:w="80" w:type="dxa"/>
              <w:start w:w="120" w:type="dxa"/>
              <w:bottom w:w="80" w:type="dxa"/>
              <w:end w:w="120" w:type="dxa"/>
            </w:tcMar>
            <w:vAlign w:val="center"/>
          </w:tcPr>
          <w:p>
            <w:pPr>
              <w:spacing w:after="40" w:line="269" w:lineRule="auto"/>
            </w:pPr>
            <w:r>
              <w:rPr>
                <w:rFonts w:ascii="Calibri" w:hAnsi="Calibri"/>
                <w:sz w:val="19"/>
              </w:rPr>
              <w:t>Pricing, overtime, waiting, overnight and cancellation formulas</w:t>
            </w:r>
          </w:p>
        </w:tc>
        <w:tc>
          <w:tcPr>
            <w:tcW w:type="dxa" w:w="3660"/>
            <w:tcMar>
              <w:top w:w="80" w:type="dxa"/>
              <w:start w:w="120" w:type="dxa"/>
              <w:bottom w:w="80" w:type="dxa"/>
              <w:end w:w="120" w:type="dxa"/>
            </w:tcMar>
            <w:vAlign w:val="center"/>
          </w:tcPr>
          <w:p>
            <w:pPr>
              <w:spacing w:after="40" w:line="269" w:lineRule="auto"/>
            </w:pPr>
            <w:r>
              <w:rPr>
                <w:rFonts w:ascii="Calibri" w:hAnsi="Calibri"/>
                <w:sz w:val="19"/>
              </w:rPr>
              <w:t>Founder/finance - before build completion</w:t>
            </w:r>
          </w:p>
        </w:tc>
      </w:tr>
      <w:tr>
        <w:tc>
          <w:tcPr>
            <w:tcW w:type="dxa" w:w="5700"/>
            <w:tcMar>
              <w:top w:w="80" w:type="dxa"/>
              <w:start w:w="120" w:type="dxa"/>
              <w:bottom w:w="80" w:type="dxa"/>
              <w:end w:w="120" w:type="dxa"/>
            </w:tcMar>
            <w:vAlign w:val="center"/>
          </w:tcPr>
          <w:p>
            <w:pPr>
              <w:spacing w:after="40" w:line="269" w:lineRule="auto"/>
            </w:pPr>
            <w:r>
              <w:rPr>
                <w:rFonts w:ascii="Calibri" w:hAnsi="Calibri"/>
                <w:sz w:val="19"/>
              </w:rPr>
              <w:t>Customer identification and approval policy</w:t>
            </w:r>
          </w:p>
        </w:tc>
        <w:tc>
          <w:tcPr>
            <w:tcW w:type="dxa" w:w="3660"/>
            <w:tcMar>
              <w:top w:w="80" w:type="dxa"/>
              <w:start w:w="120" w:type="dxa"/>
              <w:bottom w:w="80" w:type="dxa"/>
              <w:end w:w="120" w:type="dxa"/>
            </w:tcMar>
            <w:vAlign w:val="center"/>
          </w:tcPr>
          <w:p>
            <w:pPr>
              <w:spacing w:after="40" w:line="269" w:lineRule="auto"/>
            </w:pPr>
            <w:r>
              <w:rPr>
                <w:rFonts w:ascii="Calibri" w:hAnsi="Calibri"/>
                <w:sz w:val="19"/>
              </w:rPr>
              <w:t>Operations/legal - before pilot</w:t>
            </w:r>
          </w:p>
        </w:tc>
      </w:tr>
      <w:tr>
        <w:tc>
          <w:tcPr>
            <w:tcW w:type="dxa" w:w="5700"/>
            <w:tcMar>
              <w:top w:w="80" w:type="dxa"/>
              <w:start w:w="120" w:type="dxa"/>
              <w:bottom w:w="80" w:type="dxa"/>
              <w:end w:w="120" w:type="dxa"/>
            </w:tcMar>
            <w:vAlign w:val="center"/>
          </w:tcPr>
          <w:p>
            <w:pPr>
              <w:spacing w:after="40" w:line="269" w:lineRule="auto"/>
            </w:pPr>
            <w:r>
              <w:rPr>
                <w:rFonts w:ascii="Calibri" w:hAnsi="Calibri"/>
                <w:sz w:val="19"/>
              </w:rPr>
              <w:t>Payment schedule, deposit policy and refund authority</w:t>
            </w:r>
          </w:p>
        </w:tc>
        <w:tc>
          <w:tcPr>
            <w:tcW w:type="dxa" w:w="3660"/>
            <w:tcMar>
              <w:top w:w="80" w:type="dxa"/>
              <w:start w:w="120" w:type="dxa"/>
              <w:bottom w:w="80" w:type="dxa"/>
              <w:end w:w="120" w:type="dxa"/>
            </w:tcMar>
            <w:vAlign w:val="center"/>
          </w:tcPr>
          <w:p>
            <w:pPr>
              <w:spacing w:after="40" w:line="269" w:lineRule="auto"/>
            </w:pPr>
            <w:r>
              <w:rPr>
                <w:rFonts w:ascii="Calibri" w:hAnsi="Calibri"/>
                <w:sz w:val="19"/>
              </w:rPr>
              <w:t>Finance/legal - before integration</w:t>
            </w:r>
          </w:p>
        </w:tc>
      </w:tr>
      <w:tr>
        <w:tc>
          <w:tcPr>
            <w:tcW w:type="dxa" w:w="5700"/>
            <w:tcMar>
              <w:top w:w="80" w:type="dxa"/>
              <w:start w:w="120" w:type="dxa"/>
              <w:bottom w:w="80" w:type="dxa"/>
              <w:end w:w="120" w:type="dxa"/>
            </w:tcMar>
            <w:vAlign w:val="center"/>
          </w:tcPr>
          <w:p>
            <w:pPr>
              <w:spacing w:after="40" w:line="269" w:lineRule="auto"/>
            </w:pPr>
            <w:r>
              <w:rPr>
                <w:rFonts w:ascii="Calibri" w:hAnsi="Calibri"/>
                <w:sz w:val="19"/>
              </w:rPr>
              <w:t>Partner onboarding criteria and commercial contract</w:t>
            </w:r>
          </w:p>
        </w:tc>
        <w:tc>
          <w:tcPr>
            <w:tcW w:type="dxa" w:w="3660"/>
            <w:tcMar>
              <w:top w:w="80" w:type="dxa"/>
              <w:start w:w="120" w:type="dxa"/>
              <w:bottom w:w="80" w:type="dxa"/>
              <w:end w:w="120" w:type="dxa"/>
            </w:tcMar>
            <w:vAlign w:val="center"/>
          </w:tcPr>
          <w:p>
            <w:pPr>
              <w:spacing w:after="40" w:line="269" w:lineRule="auto"/>
            </w:pPr>
            <w:r>
              <w:rPr>
                <w:rFonts w:ascii="Calibri" w:hAnsi="Calibri"/>
                <w:sz w:val="19"/>
              </w:rPr>
              <w:t>Founder/legal - before partner access</w:t>
            </w:r>
          </w:p>
        </w:tc>
      </w:tr>
      <w:tr>
        <w:tc>
          <w:tcPr>
            <w:tcW w:type="dxa" w:w="5700"/>
            <w:tcMar>
              <w:top w:w="80" w:type="dxa"/>
              <w:start w:w="120" w:type="dxa"/>
              <w:bottom w:w="80" w:type="dxa"/>
              <w:end w:w="120" w:type="dxa"/>
            </w:tcMar>
            <w:vAlign w:val="center"/>
          </w:tcPr>
          <w:p>
            <w:pPr>
              <w:spacing w:after="40" w:line="269" w:lineRule="auto"/>
            </w:pPr>
            <w:r>
              <w:rPr>
                <w:rFonts w:ascii="Calibri" w:hAnsi="Calibri"/>
                <w:sz w:val="19"/>
              </w:rPr>
              <w:t>Chauffeur screening, conduct and allowance policy</w:t>
            </w:r>
          </w:p>
        </w:tc>
        <w:tc>
          <w:tcPr>
            <w:tcW w:type="dxa" w:w="3660"/>
            <w:tcMar>
              <w:top w:w="80" w:type="dxa"/>
              <w:start w:w="120" w:type="dxa"/>
              <w:bottom w:w="80" w:type="dxa"/>
              <w:end w:w="120" w:type="dxa"/>
            </w:tcMar>
            <w:vAlign w:val="center"/>
          </w:tcPr>
          <w:p>
            <w:pPr>
              <w:spacing w:after="40" w:line="269" w:lineRule="auto"/>
            </w:pPr>
            <w:r>
              <w:rPr>
                <w:rFonts w:ascii="Calibri" w:hAnsi="Calibri"/>
                <w:sz w:val="19"/>
              </w:rPr>
              <w:t>Operations/legal - before pilot</w:t>
            </w:r>
          </w:p>
        </w:tc>
      </w:tr>
      <w:tr>
        <w:tc>
          <w:tcPr>
            <w:tcW w:type="dxa" w:w="5700"/>
            <w:tcMar>
              <w:top w:w="80" w:type="dxa"/>
              <w:start w:w="120" w:type="dxa"/>
              <w:bottom w:w="80" w:type="dxa"/>
              <w:end w:w="120" w:type="dxa"/>
            </w:tcMar>
            <w:vAlign w:val="center"/>
          </w:tcPr>
          <w:p>
            <w:pPr>
              <w:spacing w:after="40" w:line="269" w:lineRule="auto"/>
            </w:pPr>
            <w:r>
              <w:rPr>
                <w:rFonts w:ascii="Calibri" w:hAnsi="Calibri"/>
                <w:sz w:val="19"/>
              </w:rPr>
              <w:t>Launch date and first pilot routes</w:t>
            </w:r>
          </w:p>
        </w:tc>
        <w:tc>
          <w:tcPr>
            <w:tcW w:type="dxa" w:w="3660"/>
            <w:tcMar>
              <w:top w:w="80" w:type="dxa"/>
              <w:start w:w="120" w:type="dxa"/>
              <w:bottom w:w="80" w:type="dxa"/>
              <w:end w:w="120" w:type="dxa"/>
            </w:tcMar>
            <w:vAlign w:val="center"/>
          </w:tcPr>
          <w:p>
            <w:pPr>
              <w:spacing w:after="40" w:line="269" w:lineRule="auto"/>
            </w:pPr>
            <w:r>
              <w:rPr>
                <w:rFonts w:ascii="Calibri" w:hAnsi="Calibri"/>
                <w:sz w:val="19"/>
              </w:rPr>
              <w:t>Founder - before release planning</w:t>
            </w:r>
          </w:p>
        </w:tc>
      </w:tr>
    </w:tbl>
    <w:p>
      <w:pPr>
        <w:spacing w:after="0"/>
      </w:pPr>
    </w:p>
    <w:p>
      <w:pPr>
        <w:pStyle w:val="Heading1"/>
      </w:pPr>
      <w:r>
        <w:t>17. Recommended next actions</w:t>
      </w:r>
    </w:p>
    <w:p>
      <w:pPr>
        <w:pStyle w:val="ListNumber"/>
        <w:spacing w:after="80" w:line="300" w:lineRule="auto"/>
        <w:ind w:left="540" w:hanging="271"/>
      </w:pPr>
      <w:r>
        <w:t>Approve this requirements baseline and nominate one product decision-maker.</w:t>
      </w:r>
    </w:p>
    <w:p>
      <w:pPr>
        <w:pStyle w:val="ListNumber"/>
        <w:spacing w:after="80" w:line="300" w:lineRule="auto"/>
        <w:ind w:left="540" w:hanging="271"/>
      </w:pPr>
      <w:r>
        <w:t>Complete the open decisions in Section 16 using a two-hour operations workshop.</w:t>
      </w:r>
    </w:p>
    <w:p>
      <w:pPr>
        <w:pStyle w:val="ListNumber"/>
        <w:spacing w:after="80" w:line="300" w:lineRule="auto"/>
        <w:ind w:left="540" w:hanging="271"/>
      </w:pPr>
      <w:r>
        <w:t>Create mobile wireframes for customer request, operations quote/assignment, chauffeur trip and partner earnings flows.</w:t>
      </w:r>
    </w:p>
    <w:p>
      <w:pPr>
        <w:pStyle w:val="ListNumber"/>
        <w:spacing w:after="80" w:line="300" w:lineRule="auto"/>
        <w:ind w:left="540" w:hanging="271"/>
      </w:pPr>
      <w:r>
        <w:t>Request fixed-scope quotations from at least three developers using this same document.</w:t>
      </w:r>
    </w:p>
    <w:p>
      <w:pPr>
        <w:pStyle w:val="ListNumber"/>
        <w:spacing w:after="80" w:line="300" w:lineRule="auto"/>
        <w:ind w:left="540" w:hanging="271"/>
      </w:pPr>
      <w:r>
        <w:t>Select providers only after total recurring costs, onboarding requirements and permitted vehicle-rental use are verified.</w:t>
      </w:r>
    </w:p>
    <w:p>
      <w:pPr>
        <w:pStyle w:val="ListNumber"/>
        <w:spacing w:after="80" w:line="300" w:lineRule="auto"/>
        <w:ind w:left="540" w:hanging="271"/>
      </w:pPr>
      <w:r>
        <w:t>Run a pilot with a small, representative subset of vehicles and partners before public launch.</w:t>
      </w:r>
    </w:p>
    <w:p>
      <w:pPr>
        <w:pStyle w:val="Callout"/>
        <w:shd w:fill="F5F8FB"/>
      </w:pPr>
      <w:r>
        <w:rPr>
          <w:b/>
        </w:rPr>
        <w:t xml:space="preserve">Decision gate. </w:t>
      </w:r>
      <w:r>
        <w:t>Do not begin full development until the pricing rules, booking statuses, user permissions, payment conditions and acceptance criteria are signed off. These five areas drive most rework and budget overruns.</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Confidential working specification  |  Nigeria  |  31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6"/>
      </w:rPr>
      <w:t>LUXURY VEHICLE RENTAL PLATFORM  |  MVP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80" w:line="288" w:lineRule="auto"/>
      <w:ind w:left="259" w:right="259"/>
    </w:pPr>
    <w:rPr>
      <w:rFonts w:ascii="Calibri" w:hAnsi="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Chauffeur-Driven Luxury Vehicle Rental Platform - MVP Requirements</dc:title>
  <dc:subject>Nigeria luxury vehicle rental digital platform requirements</dc:subject>
  <dc:creator>Project Working Team</dc:creator>
  <cp:keywords/>
  <dc:description>Working baseline prepared from founder discovery decisions.</dc:description>
  <cp:lastModifiedBy/>
  <cp:revision>1</cp:revision>
  <dcterms:created xsi:type="dcterms:W3CDTF">2013-12-23T23:15:00Z</dcterms:created>
  <dcterms:modified xsi:type="dcterms:W3CDTF">2013-12-23T23:15:00Z</dcterms:modified>
  <cp:category/>
</cp:coreProperties>
</file>