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HW3 Design Document</w:t>
      </w:r>
    </w:p>
    <w:p>
      <w:pPr>
        <w:pStyle w:val="Heading1"/>
      </w:pPr>
      <w:r>
        <w:t>Part 1: Wide-Column Schema Design &amp; Sharding</w:t>
      </w:r>
    </w:p>
    <w:p>
      <w:pPr>
        <w:pStyle w:val="Heading2"/>
      </w:pPr>
      <w:r>
        <w:t>1.1 Row Key &amp; Sharding</w:t>
      </w:r>
    </w:p>
    <w:p>
      <w:r>
        <w:rPr>
          <w:b/>
        </w:rPr>
        <w:t xml:space="preserve">Proposed Row Key: </w:t>
      </w:r>
      <w:r>
        <w:t>&lt;City&gt;#&lt;Make&gt;#&lt;VIN&gt;</w:t>
      </w:r>
    </w:p>
    <w:p>
      <w:r>
        <w:t>Example: Seattle#TESLA#5YJ3E1EA1N</w:t>
      </w:r>
    </w:p>
    <w:p>
      <w:r>
        <w:rPr>
          <w:b/>
        </w:rPr>
        <w:t>Why this avoids hotspotting:</w:t>
      </w:r>
    </w:p>
    <w:p>
      <w:pPr>
        <w:pStyle w:val="ListBullet"/>
      </w:pPr>
      <w:r>
        <w:t>A single-field sequential key (e.g., DOL Vehicle ID) would route writes to one tablet server at a time because Bigtable stores data in sorted row-key order. This creates a "hot tablet" bottleneck.</w:t>
      </w:r>
    </w:p>
    <w:p>
      <w:pPr>
        <w:pStyle w:val="ListBullet"/>
      </w:pPr>
      <w:r>
        <w:t>By using a composite key that leads with City, writes are distributed across many prefixes (Seattle, Bellevue, Tacoma, Olympia, etc.), spreading the load across multiple tablet servers.</w:t>
      </w:r>
    </w:p>
    <w:p>
      <w:pPr>
        <w:pStyle w:val="ListBullet"/>
      </w:pPr>
      <w:r>
        <w:t>Adding Make as the second component further fans out the distribution within each city.</w:t>
      </w:r>
    </w:p>
    <w:p>
      <w:r>
        <w:rPr>
          <w:b/>
        </w:rPr>
        <w:t>Impact on query efficiency: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Query Pattern</w:t>
            </w:r>
          </w:p>
        </w:tc>
        <w:tc>
          <w:tcPr>
            <w:tcW w:type="dxa" w:w="2880"/>
          </w:tcPr>
          <w:p>
            <w:r>
              <w:rPr>
                <w:b/>
              </w:rPr>
              <w:t>Efficiency</w:t>
            </w:r>
          </w:p>
        </w:tc>
        <w:tc>
          <w:tcPr>
            <w:tcW w:type="dxa" w:w="2880"/>
          </w:tcPr>
          <w:p>
            <w:r>
              <w:rPr>
                <w:b/>
              </w:rPr>
              <w:t>Reason</w:t>
            </w:r>
          </w:p>
        </w:tc>
      </w:tr>
      <w:tr>
        <w:tc>
          <w:tcPr>
            <w:tcW w:type="dxa" w:w="2880"/>
          </w:tcPr>
          <w:p>
            <w:r>
              <w:t>All vehicles in a City</w:t>
            </w:r>
          </w:p>
        </w:tc>
        <w:tc>
          <w:tcPr>
            <w:tcW w:type="dxa" w:w="2880"/>
          </w:tcPr>
          <w:p>
            <w:r>
              <w:t>Excellent</w:t>
            </w:r>
          </w:p>
        </w:tc>
        <w:tc>
          <w:tcPr>
            <w:tcW w:type="dxa" w:w="2880"/>
          </w:tcPr>
          <w:p>
            <w:r>
              <w:t>Prefix scan on City# retrieves all matching rows in a single contiguous range</w:t>
            </w:r>
          </w:p>
        </w:tc>
      </w:tr>
      <w:tr>
        <w:tc>
          <w:tcPr>
            <w:tcW w:type="dxa" w:w="2880"/>
          </w:tcPr>
          <w:p>
            <w:r>
              <w:t>All vehicles of a Make in a City</w:t>
            </w:r>
          </w:p>
        </w:tc>
        <w:tc>
          <w:tcPr>
            <w:tcW w:type="dxa" w:w="2880"/>
          </w:tcPr>
          <w:p>
            <w:r>
              <w:t>Excellent</w:t>
            </w:r>
          </w:p>
        </w:tc>
        <w:tc>
          <w:tcPr>
            <w:tcW w:type="dxa" w:w="2880"/>
          </w:tcPr>
          <w:p>
            <w:r>
              <w:t>Prefix scan on City#Make# narrows further</w:t>
            </w:r>
          </w:p>
        </w:tc>
      </w:tr>
      <w:tr>
        <w:tc>
          <w:tcPr>
            <w:tcW w:type="dxa" w:w="2880"/>
          </w:tcPr>
          <w:p>
            <w:r>
              <w:t>All vehicles of a Make (any city)</w:t>
            </w:r>
          </w:p>
        </w:tc>
        <w:tc>
          <w:tcPr>
            <w:tcW w:type="dxa" w:w="2880"/>
          </w:tcPr>
          <w:p>
            <w:r>
              <w:t>Moderate</w:t>
            </w:r>
          </w:p>
        </w:tc>
        <w:tc>
          <w:tcPr>
            <w:tcW w:type="dxa" w:w="2880"/>
          </w:tcPr>
          <w:p>
            <w:r>
              <w:t>Requires a full table scan or a secondary index, since Make is not the leading key component</w:t>
            </w:r>
          </w:p>
        </w:tc>
      </w:tr>
      <w:tr>
        <w:tc>
          <w:tcPr>
            <w:tcW w:type="dxa" w:w="2880"/>
          </w:tcPr>
          <w:p>
            <w:r>
              <w:t>Single vehicle by VIN</w:t>
            </w:r>
          </w:p>
        </w:tc>
        <w:tc>
          <w:tcPr>
            <w:tcW w:type="dxa" w:w="2880"/>
          </w:tcPr>
          <w:p>
            <w:r>
              <w:t>Moderate</w:t>
            </w:r>
          </w:p>
        </w:tc>
        <w:tc>
          <w:tcPr>
            <w:tcW w:type="dxa" w:w="2880"/>
          </w:tcPr>
          <w:p>
            <w:r>
              <w:t>Requires scanning across city prefixes unless VIN is known with its city; a secondary index on VIN can help</w:t>
            </w:r>
          </w:p>
        </w:tc>
      </w:tr>
    </w:tbl>
    <w:p/>
    <w:p>
      <w:r>
        <w:rPr>
          <w:b/>
        </w:rPr>
        <w:t xml:space="preserve">Alternative considered: </w:t>
      </w:r>
      <w:r>
        <w:t>Salting the row key with a hash prefix (e.g., MD5(VIN)[:4]#City#Make#VIN) would provide even distribution but destroys all range-scan ability. The chosen composite key balances distribution with useful prefix-scan semantics.</w:t>
      </w:r>
    </w:p>
    <w:p>
      <w:pPr>
        <w:pStyle w:val="Heading2"/>
      </w:pPr>
      <w:r>
        <w:t>1.2 Column Families</w:t>
      </w:r>
    </w:p>
    <w:p>
      <w:r>
        <w:t>Bigtable groups columns into Column Families, each stored in its own SSTable files. Grouping frequently co-accessed columns together minimizes disk I/O during reads.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Column Family</w:t>
            </w:r>
          </w:p>
        </w:tc>
        <w:tc>
          <w:tcPr>
            <w:tcW w:type="dxa" w:w="2880"/>
          </w:tcPr>
          <w:p>
            <w:r>
              <w:rPr>
                <w:b/>
              </w:rPr>
              <w:t>Columns</w:t>
            </w:r>
          </w:p>
        </w:tc>
        <w:tc>
          <w:tcPr>
            <w:tcW w:type="dxa" w:w="2880"/>
          </w:tcPr>
          <w:p>
            <w:r>
              <w:rPr>
                <w:b/>
              </w:rPr>
              <w:t>Rationale</w:t>
            </w:r>
          </w:p>
        </w:tc>
      </w:tr>
      <w:tr>
        <w:tc>
          <w:tcPr>
            <w:tcW w:type="dxa" w:w="2880"/>
          </w:tcPr>
          <w:p>
            <w:r>
              <w:t>vehicle_info</w:t>
            </w:r>
          </w:p>
        </w:tc>
        <w:tc>
          <w:tcPr>
            <w:tcW w:type="dxa" w:w="2880"/>
          </w:tcPr>
          <w:p>
            <w:r>
              <w:t>Make, Model, Model Year, Electric Vehicle Type, Electric Range, CAFV Eligibility</w:t>
            </w:r>
          </w:p>
        </w:tc>
        <w:tc>
          <w:tcPr>
            <w:tcW w:type="dxa" w:w="2880"/>
          </w:tcPr>
          <w:p>
            <w:r>
              <w:t>Core vehicle attributes queried together for inventory lookups and filtering</w:t>
            </w:r>
          </w:p>
        </w:tc>
      </w:tr>
      <w:tr>
        <w:tc>
          <w:tcPr>
            <w:tcW w:type="dxa" w:w="2880"/>
          </w:tcPr>
          <w:p>
            <w:r>
              <w:t>location</w:t>
            </w:r>
          </w:p>
        </w:tc>
        <w:tc>
          <w:tcPr>
            <w:tcW w:type="dxa" w:w="2880"/>
          </w:tcPr>
          <w:p>
            <w:r>
              <w:t>County, City, State, Postal Code, Vehicle Location, Legislative District, 2020 Census Tract</w:t>
            </w:r>
          </w:p>
        </w:tc>
        <w:tc>
          <w:tcPr>
            <w:tcW w:type="dxa" w:w="2880"/>
          </w:tcPr>
          <w:p>
            <w:r>
              <w:t>Geographic data accessed together for spatial analysis and regional reporting</w:t>
            </w:r>
          </w:p>
        </w:tc>
      </w:tr>
      <w:tr>
        <w:tc>
          <w:tcPr>
            <w:tcW w:type="dxa" w:w="2880"/>
          </w:tcPr>
          <w:p>
            <w:r>
              <w:t>utility</w:t>
            </w:r>
          </w:p>
        </w:tc>
        <w:tc>
          <w:tcPr>
            <w:tcW w:type="dxa" w:w="2880"/>
          </w:tcPr>
          <w:p>
            <w:r>
              <w:t>Electric Utility</w:t>
            </w:r>
          </w:p>
        </w:tc>
        <w:tc>
          <w:tcPr>
            <w:tcW w:type="dxa" w:w="2880"/>
          </w:tcPr>
          <w:p>
            <w:r>
              <w:t>Rarely needed alongside vehicle specs; isolating it avoids reading unnecessary data</w:t>
            </w:r>
          </w:p>
        </w:tc>
      </w:tr>
    </w:tbl>
    <w:p/>
    <w:p>
      <w:r>
        <w:rPr>
          <w:b/>
        </w:rPr>
        <w:t>Benefits for distributed read performance:</w:t>
      </w:r>
    </w:p>
    <w:p>
      <w:pPr>
        <w:pStyle w:val="ListBullet"/>
      </w:pPr>
      <w:r>
        <w:t>A query like "find all Tesla Model 3s" only reads the vehicle_info column family, skipping the bytes stored in location and utility.</w:t>
      </w:r>
    </w:p>
    <w:p>
      <w:pPr>
        <w:pStyle w:val="ListBullet"/>
      </w:pPr>
      <w:r>
        <w:t>Each column family can have independent compression settings and bloom filters, tuned to its access pattern.</w:t>
      </w:r>
    </w:p>
    <w:p>
      <w:pPr>
        <w:pStyle w:val="ListBullet"/>
      </w:pPr>
      <w:r>
        <w:t>Different column families for the same row can reside on different storage nodes, enabling parallel reads.</w:t>
      </w:r>
    </w:p>
    <w:p>
      <w:pPr>
        <w:pStyle w:val="Heading2"/>
      </w:pPr>
      <w:r>
        <w:t>1.3 Horizontal Scaling: Hashed vs. Range-Based Shard Key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Hashed Shard Key (hash of VIN)</w:t>
            </w:r>
          </w:p>
        </w:tc>
        <w:tc>
          <w:tcPr>
            <w:tcW w:type="dxa" w:w="2880"/>
          </w:tcPr>
          <w:p>
            <w:r>
              <w:rPr>
                <w:b/>
              </w:rPr>
              <w:t>Range-Based Shard Key (Model Year)</w:t>
            </w:r>
          </w:p>
        </w:tc>
      </w:tr>
      <w:tr>
        <w:tc>
          <w:tcPr>
            <w:tcW w:type="dxa" w:w="2880"/>
          </w:tcPr>
          <w:p>
            <w:r>
              <w:t>Write distribution</w:t>
            </w:r>
          </w:p>
        </w:tc>
        <w:tc>
          <w:tcPr>
            <w:tcW w:type="dxa" w:w="2880"/>
          </w:tcPr>
          <w:p>
            <w:r>
              <w:t>Excellent – uniform distribution across shards</w:t>
            </w:r>
          </w:p>
        </w:tc>
        <w:tc>
          <w:tcPr>
            <w:tcW w:type="dxa" w:w="2880"/>
          </w:tcPr>
          <w:p>
            <w:r>
              <w:t>Poor to moderate – recent model years receive the vast majority of inserts, creating hot shards</w:t>
            </w:r>
          </w:p>
        </w:tc>
      </w:tr>
      <w:tr>
        <w:tc>
          <w:tcPr>
            <w:tcW w:type="dxa" w:w="2880"/>
          </w:tcPr>
          <w:p>
            <w:r>
              <w:t>Point lookups</w:t>
            </w:r>
          </w:p>
        </w:tc>
        <w:tc>
          <w:tcPr>
            <w:tcW w:type="dxa" w:w="2880"/>
          </w:tcPr>
          <w:p>
            <w:r>
              <w:t>Excellent – single shard targeted via hash</w:t>
            </w:r>
          </w:p>
        </w:tc>
        <w:tc>
          <w:tcPr>
            <w:tcW w:type="dxa" w:w="2880"/>
          </w:tcPr>
          <w:p>
            <w:r>
              <w:t>Good – single shard targeted via range</w:t>
            </w:r>
          </w:p>
        </w:tc>
      </w:tr>
      <w:tr>
        <w:tc>
          <w:tcPr>
            <w:tcW w:type="dxa" w:w="2880"/>
          </w:tcPr>
          <w:p>
            <w:r>
              <w:t>Range queries</w:t>
            </w:r>
          </w:p>
        </w:tc>
        <w:tc>
          <w:tcPr>
            <w:tcW w:type="dxa" w:w="2880"/>
          </w:tcPr>
          <w:p>
            <w:r>
              <w:t>Poor – range scans scatter across all shards, requiring scatter-gather</w:t>
            </w:r>
          </w:p>
        </w:tc>
        <w:tc>
          <w:tcPr>
            <w:tcW w:type="dxa" w:w="2880"/>
          </w:tcPr>
          <w:p>
            <w:r>
              <w:t>Excellent – contiguous years live on the same or adjacent shards</w:t>
            </w:r>
          </w:p>
        </w:tc>
      </w:tr>
      <w:tr>
        <w:tc>
          <w:tcPr>
            <w:tcW w:type="dxa" w:w="2880"/>
          </w:tcPr>
          <w:p>
            <w:r>
              <w:t>Cluster performance under skew</w:t>
            </w:r>
          </w:p>
        </w:tc>
        <w:tc>
          <w:tcPr>
            <w:tcW w:type="dxa" w:w="2880"/>
          </w:tcPr>
          <w:p>
            <w:r>
              <w:t>Stable – no single shard is disproportionately loaded</w:t>
            </w:r>
          </w:p>
        </w:tc>
        <w:tc>
          <w:tcPr>
            <w:tcW w:type="dxa" w:w="2880"/>
          </w:tcPr>
          <w:p>
            <w:r>
              <w:t>Degrades – the shard holding latest years becomes a bottleneck</w:t>
            </w:r>
          </w:p>
        </w:tc>
      </w:tr>
      <w:tr>
        <w:tc>
          <w:tcPr>
            <w:tcW w:type="dxa" w:w="2880"/>
          </w:tcPr>
          <w:p>
            <w:r>
              <w:t>Rebalancing</w:t>
            </w:r>
          </w:p>
        </w:tc>
        <w:tc>
          <w:tcPr>
            <w:tcW w:type="dxa" w:w="2880"/>
          </w:tcPr>
          <w:p>
            <w:r>
              <w:t>Automatic and predictable</w:t>
            </w:r>
          </w:p>
        </w:tc>
        <w:tc>
          <w:tcPr>
            <w:tcW w:type="dxa" w:w="2880"/>
          </w:tcPr>
          <w:p>
            <w:r>
              <w:t>Requires manual intervention or split policies when hot ranges grow</w:t>
            </w:r>
          </w:p>
        </w:tc>
      </w:tr>
      <w:tr>
        <w:tc>
          <w:tcPr>
            <w:tcW w:type="dxa" w:w="2880"/>
          </w:tcPr>
          <w:p>
            <w:r>
              <w:t>Best for</w:t>
            </w:r>
          </w:p>
        </w:tc>
        <w:tc>
          <w:tcPr>
            <w:tcW w:type="dxa" w:w="2880"/>
          </w:tcPr>
          <w:p>
            <w:r>
              <w:t>High write throughput, even load, point queries</w:t>
            </w:r>
          </w:p>
        </w:tc>
        <w:tc>
          <w:tcPr>
            <w:tcW w:type="dxa" w:w="2880"/>
          </w:tcPr>
          <w:p>
            <w:r>
              <w:t>Analytical workloads with range scans on the shard key field</w:t>
            </w:r>
          </w:p>
        </w:tc>
      </w:tr>
    </w:tbl>
    <w:p/>
    <w:p>
      <w:r>
        <w:rPr>
          <w:b/>
        </w:rPr>
        <w:t xml:space="preserve">Conclusion: </w:t>
      </w:r>
      <w:r>
        <w:t>For this EV dataset, a hashed shard key on VIN is preferable for operational workloads (inserts, lookups by VIN) because the data is heavily skewed toward recent model years. A range-based key on Model Year would only be preferable if the dominant access pattern were time-range analytical queries and the hot-shard problem were mitigated with zone sharding or pre-splitting.</w:t>
      </w:r>
    </w:p>
    <w:p>
      <w:r>
        <w:br w:type="page"/>
      </w:r>
    </w:p>
    <w:p>
      <w:pPr>
        <w:pStyle w:val="Heading1"/>
      </w:pPr>
      <w:r>
        <w:t>Part 4: Performance Analysis</w:t>
      </w:r>
    </w:p>
    <w:p>
      <w:pPr>
        <w:pStyle w:val="Heading2"/>
      </w:pPr>
      <w:r>
        <w:t>4.1 Benchmark Results</w:t>
      </w:r>
    </w:p>
    <w:p>
      <w:r>
        <w:t>Latency measurements from sending 50 POST requests to each endpoint using benchmark.py against the deployed GCP VM: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Write Concern</w:t>
            </w:r>
          </w:p>
        </w:tc>
        <w:tc>
          <w:tcPr>
            <w:tcW w:type="dxa" w:w="2880"/>
          </w:tcPr>
          <w:p>
            <w:r>
              <w:rPr>
                <w:b/>
              </w:rPr>
              <w:t>Avg Latency (ms)</w:t>
            </w:r>
          </w:p>
        </w:tc>
      </w:tr>
      <w:tr>
        <w:tc>
          <w:tcPr>
            <w:tcW w:type="dxa" w:w="2880"/>
          </w:tcPr>
          <w:p>
            <w:r>
              <w:t>/insert-fast</w:t>
            </w:r>
          </w:p>
        </w:tc>
        <w:tc>
          <w:tcPr>
            <w:tcW w:type="dxa" w:w="2880"/>
          </w:tcPr>
          <w:p>
            <w:r>
              <w:t>w=1 (primary only)</w:t>
            </w:r>
          </w:p>
        </w:tc>
        <w:tc>
          <w:tcPr>
            <w:tcW w:type="dxa" w:w="2880"/>
          </w:tcPr>
          <w:p>
            <w:r>
              <w:t>~34.06 ms</w:t>
            </w:r>
          </w:p>
        </w:tc>
      </w:tr>
      <w:tr>
        <w:tc>
          <w:tcPr>
            <w:tcW w:type="dxa" w:w="2880"/>
          </w:tcPr>
          <w:p>
            <w:r>
              <w:t>/insert-safe</w:t>
            </w:r>
          </w:p>
        </w:tc>
        <w:tc>
          <w:tcPr>
            <w:tcW w:type="dxa" w:w="2880"/>
          </w:tcPr>
          <w:p>
            <w:r>
              <w:t>w="majority"</w:t>
            </w:r>
          </w:p>
        </w:tc>
        <w:tc>
          <w:tcPr>
            <w:tcW w:type="dxa" w:w="2880"/>
          </w:tcPr>
          <w:p>
            <w:r>
              <w:t>~37.24 ms</w:t>
            </w:r>
          </w:p>
        </w:tc>
      </w:tr>
    </w:tbl>
    <w:p/>
    <w:p>
      <w:r>
        <w:rPr>
          <w:b/>
        </w:rPr>
        <w:t xml:space="preserve">Observation: </w:t>
      </w:r>
      <w:r>
        <w:t>On the MongoDB Atlas M0 free tier (shared infrastructure), /insert-safe averaged ~37.24 ms versus ~34.06 ms for /insert-fast, a ratio of approximately 1.09x. The difference is modest because the M0 free tier runs on shared resources where replication overhead is small relative to overall network and processing latency. On a dedicated, production-grade replica set with geographically distributed secondaries, the gap would widen significantly because w="majority" must wait for write acknowledgements across longer network paths.</w:t>
      </w:r>
    </w:p>
    <w:p>
      <w:pPr>
        <w:pStyle w:val="Heading2"/>
      </w:pPr>
      <w:r>
        <w:t>4.2 CAP Theorem Analysis</w:t>
      </w:r>
    </w:p>
    <w:p>
      <w:r>
        <w:t>The CAP theorem states that a distributed system can guarantee at most two of: Consistency, Availability, and Partition tolerance.</w:t>
      </w:r>
    </w:p>
    <w:p>
      <w:r>
        <w:rPr>
          <w:b/>
        </w:rPr>
        <w:t xml:space="preserve">/insert-fast (w=1): </w:t>
      </w:r>
      <w:r>
        <w:t>Prioritizes Availability and Performance. The write returns immediately once the primary acknowledges. If the primary crashes before replicating to secondaries, that write is lost. This trades consistency/durability for lower latency.</w:t>
      </w:r>
    </w:p>
    <w:p>
      <w:r>
        <w:rPr>
          <w:b/>
        </w:rPr>
        <w:t xml:space="preserve">/insert-safe (w="majority"): </w:t>
      </w:r>
      <w:r>
        <w:t>Prioritizes Consistency and Durability. The write is only acknowledged after a majority of nodes have persisted it. Even if the primary fails, one of the secondaries that acknowledged the write can be elected as the new primary without data loss. The cost is higher latency.</w:t>
      </w:r>
    </w:p>
    <w:p>
      <w:pPr>
        <w:pStyle w:val="Heading2"/>
      </w:pPr>
      <w:r>
        <w:t>4.3 Real-World Scenario for Fast (w=1) Writes</w:t>
      </w:r>
    </w:p>
    <w:p>
      <w:r>
        <w:rPr>
          <w:b/>
        </w:rPr>
        <w:t xml:space="preserve">IoT Sensor Telemetry Ingestion: </w:t>
      </w:r>
      <w:r>
        <w:t>Consider a fleet of 100,000 electric vehicles each sending GPS coordinates and battery-level readings every 5 seconds. This produces ~20,000 writes per second. In this scenario:</w:t>
      </w:r>
    </w:p>
    <w:p>
      <w:pPr>
        <w:pStyle w:val="ListBullet"/>
      </w:pPr>
      <w:r>
        <w:t>Individual data points are low-value – losing a single GPS ping is inconsequential because the next one arrives in 5 seconds.</w:t>
      </w:r>
    </w:p>
    <w:p>
      <w:pPr>
        <w:pStyle w:val="ListBullet"/>
      </w:pPr>
      <w:r>
        <w:t>Write throughput and low latency are critical to avoid back-pressure on the ingestion pipeline.</w:t>
      </w:r>
    </w:p>
    <w:p>
      <w:pPr>
        <w:pStyle w:val="ListBullet"/>
      </w:pPr>
      <w:r>
        <w:t>Using w=1 keeps latency minimal and maximizes throughput.</w:t>
      </w:r>
    </w:p>
    <w:p>
      <w:pPr>
        <w:pStyle w:val="ListBullet"/>
      </w:pPr>
      <w:r>
        <w:t>If the primary crashes, the small window of lost data (a few seconds of telemetry) is acceptable because the system is designed for aggregate analysis, not per-record accuracy.</w:t>
      </w:r>
    </w:p>
    <w:p>
      <w:r>
        <w:t>Other suitable scenarios include real-time gaming leaderboard updates, application log ingestion, and click-stream analytics where throughput matters more than per-event durability.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