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1A2E"/>
          <w:sz w:val="44"/>
        </w:rPr>
        <w:t>JINOCARLO ABAD</w:t>
      </w:r>
    </w:p>
    <w:p>
      <w:pPr>
        <w:spacing w:after="40"/>
        <w:jc w:val="center"/>
      </w:pPr>
      <w:r>
        <w:rPr>
          <w:rFonts w:ascii="Arial" w:hAnsi="Arial"/>
          <w:color w:val="555555"/>
          <w:sz w:val="18"/>
        </w:rPr>
        <w:t>San Jose, CA</w:t>
      </w:r>
      <w:r>
        <w:rPr>
          <w:rFonts w:ascii="Arial" w:hAnsi="Arial"/>
          <w:color w:val="888888"/>
          <w:sz w:val="18"/>
        </w:rPr>
        <w:t xml:space="preserve">  |  </w:t>
      </w:r>
      <w:r>
        <w:rPr>
          <w:rFonts w:ascii="Arial" w:hAnsi="Arial"/>
          <w:color w:val="2E75B6"/>
          <w:sz w:val="18"/>
        </w:rPr>
        <w:t>jino@abadimage.com</w:t>
      </w:r>
      <w:r>
        <w:rPr>
          <w:rFonts w:ascii="Arial" w:hAnsi="Arial"/>
          <w:color w:val="888888"/>
          <w:sz w:val="18"/>
        </w:rPr>
        <w:t xml:space="preserve">  |  </w:t>
      </w:r>
      <w:r>
        <w:rPr>
          <w:rFonts w:ascii="Arial" w:hAnsi="Arial"/>
          <w:color w:val="2E75B6"/>
          <w:sz w:val="18"/>
        </w:rPr>
        <w:t>linkedin.com/in/jinocarloabad</w:t>
      </w:r>
      <w:r>
        <w:rPr>
          <w:rFonts w:ascii="Arial" w:hAnsi="Arial"/>
          <w:color w:val="888888"/>
          <w:sz w:val="18"/>
        </w:rPr>
        <w:t xml:space="preserve">  |  </w:t>
      </w:r>
      <w:r>
        <w:rPr>
          <w:rFonts w:ascii="Arial" w:hAnsi="Arial"/>
          <w:color w:val="2E75B6"/>
          <w:sz w:val="18"/>
        </w:rPr>
        <w:t>abadimage.com</w:t>
      </w:r>
    </w:p>
    <w:p>
      <w:pPr>
        <w:spacing w:before="200" w:after="60"/>
        <w:pBdr>
          <w:bottom w:val="single" w:sz="6" w:space="2" w:color="2E75B6"/>
        </w:pBdr>
      </w:pPr>
      <w:r>
        <w:rPr>
          <w:rFonts w:ascii="Arial" w:hAnsi="Arial"/>
          <w:b/>
          <w:color w:val="2E75B6"/>
          <w:sz w:val="21"/>
        </w:rPr>
        <w:t>PROFESSIONAL SUMMARY</w:t>
      </w:r>
    </w:p>
    <w:p>
      <w:pPr>
        <w:spacing w:before="60" w:after="40"/>
      </w:pPr>
      <w:r>
        <w:rPr>
          <w:rFonts w:ascii="Arial" w:hAnsi="Arial"/>
          <w:color w:val="1A1A2E"/>
          <w:sz w:val="19"/>
        </w:rPr>
        <w:t>Software engineer and infrastructure architect with 20+ years of technical experience spanning AI/ML pipeline development, systems administration, and full-stack automation. Independently built a multi-node homelab running 17+ Docker services, 3 custom MCP servers, GPU-accelerated LLM inference, and semantic search pipelines using Python, PostgreSQL/pgvector, and tree-sitter. Managed mission-critical IT systems supporting 80,000+ users in DoD environments. Combines hands-on coding proficiency (Python, Bash, JavaScript, SQL) with rigorous technical writing and code review discipline—directly aligned with evaluating and refining AI-generated code.</w:t>
      </w:r>
    </w:p>
    <w:p>
      <w:pPr>
        <w:spacing w:before="200" w:after="60"/>
        <w:pBdr>
          <w:bottom w:val="single" w:sz="6" w:space="2" w:color="2E75B6"/>
        </w:pBdr>
      </w:pPr>
      <w:r>
        <w:rPr>
          <w:rFonts w:ascii="Arial" w:hAnsi="Arial"/>
          <w:b/>
          <w:color w:val="2E75B6"/>
          <w:sz w:val="21"/>
        </w:rPr>
        <w:t>TECHNICAL SKILLS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2E75B6"/>
                <w:sz w:val="17"/>
              </w:rPr>
              <w:t>Languages</w:t>
            </w:r>
          </w:p>
        </w:tc>
        <w:tc>
          <w:tcPr>
            <w:tcW w:type="dxa" w:w="83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color w:val="1A1A2E"/>
                <w:sz w:val="17"/>
              </w:rPr>
              <w:t>Python, Bash/Shell, JavaScript, SQL, YAML, HUJSON, Markdown</w:t>
            </w:r>
          </w:p>
        </w:tc>
      </w:tr>
      <w:tr>
        <w:tc>
          <w:tcPr>
            <w:tcW w:type="dxa" w:w="21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2E75B6"/>
                <w:sz w:val="17"/>
              </w:rPr>
              <w:t>AI / ML</w:t>
            </w:r>
          </w:p>
        </w:tc>
        <w:tc>
          <w:tcPr>
            <w:tcW w:type="dxa" w:w="83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color w:val="1A1A2E"/>
                <w:sz w:val="17"/>
              </w:rPr>
              <w:t>Ollama (Llama 3.2, qwen3-embedding), pgvector, RAG pipelines, LLM prompt engineering, MCP protocol, Claude Code SDK</w:t>
            </w:r>
          </w:p>
        </w:tc>
      </w:tr>
      <w:tr>
        <w:tc>
          <w:tcPr>
            <w:tcW w:type="dxa" w:w="21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2E75B6"/>
                <w:sz w:val="17"/>
              </w:rPr>
              <w:t>Infrastructure</w:t>
            </w:r>
          </w:p>
        </w:tc>
        <w:tc>
          <w:tcPr>
            <w:tcW w:type="dxa" w:w="83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color w:val="1A1A2E"/>
                <w:sz w:val="17"/>
              </w:rPr>
              <w:t>Proxmox VE, Docker/Compose, Tailscale VPN, Caddy (HA), Technitium DNS, keepalived/VRRP, VFIO GPU passthrough</w:t>
            </w:r>
          </w:p>
        </w:tc>
      </w:tr>
      <w:tr>
        <w:tc>
          <w:tcPr>
            <w:tcW w:type="dxa" w:w="21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2E75B6"/>
                <w:sz w:val="17"/>
              </w:rPr>
              <w:t>DevOps / CI-CD</w:t>
            </w:r>
          </w:p>
        </w:tc>
        <w:tc>
          <w:tcPr>
            <w:tcW w:type="dxa" w:w="83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color w:val="1A1A2E"/>
                <w:sz w:val="17"/>
              </w:rPr>
              <w:t>Gitea Actions, Git, Bitwarden Secrets Manager, infrastructure-as-code, automated deployment pipelines</w:t>
            </w:r>
          </w:p>
        </w:tc>
      </w:tr>
      <w:tr>
        <w:tc>
          <w:tcPr>
            <w:tcW w:type="dxa" w:w="21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2E75B6"/>
                <w:sz w:val="17"/>
              </w:rPr>
              <w:t>Databases</w:t>
            </w:r>
          </w:p>
        </w:tc>
        <w:tc>
          <w:tcPr>
            <w:tcW w:type="dxa" w:w="83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color w:val="1A1A2E"/>
                <w:sz w:val="17"/>
              </w:rPr>
              <w:t>PostgreSQL 16 (pgvector), SQLite, database migration tooling</w:t>
            </w:r>
          </w:p>
        </w:tc>
      </w:tr>
      <w:tr>
        <w:tc>
          <w:tcPr>
            <w:tcW w:type="dxa" w:w="21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2E75B6"/>
                <w:sz w:val="17"/>
              </w:rPr>
              <w:t>Platforms &amp; Tools</w:t>
            </w:r>
          </w:p>
        </w:tc>
        <w:tc>
          <w:tcPr>
            <w:tcW w:type="dxa" w:w="83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color w:val="1A1A2E"/>
                <w:sz w:val="17"/>
              </w:rPr>
              <w:t>Linux (Ubuntu/Debian), Proxmox LXC/VM, UniFi networking, Home Assistant, Obsidian, Adobe Creative Suite</w:t>
            </w:r>
          </w:p>
        </w:tc>
      </w:tr>
      <w:tr>
        <w:tc>
          <w:tcPr>
            <w:tcW w:type="dxa" w:w="21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2E75B6"/>
                <w:sz w:val="17"/>
              </w:rPr>
              <w:t>Core Strengths</w:t>
            </w:r>
          </w:p>
        </w:tc>
        <w:tc>
          <w:tcPr>
            <w:tcW w:type="dxa" w:w="83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30" w:after="30"/>
            </w:pPr>
            <w:r>
              <w:rPr>
                <w:rFonts w:ascii="Arial" w:hAnsi="Arial"/>
                <w:color w:val="1A1A2E"/>
                <w:sz w:val="17"/>
              </w:rPr>
              <w:t>Technical writing, code review, system architecture, troubleshooting, cross-functional collaboration, documentation (107+ ADRs)</w:t>
            </w:r>
          </w:p>
        </w:tc>
      </w:tr>
    </w:tbl>
    <w:p>
      <w:pPr>
        <w:spacing w:before="200" w:after="60"/>
        <w:pBdr>
          <w:bottom w:val="single" w:sz="6" w:space="2" w:color="2E75B6"/>
        </w:pBdr>
      </w:pPr>
      <w:r>
        <w:rPr>
          <w:rFonts w:ascii="Arial" w:hAnsi="Arial"/>
          <w:b/>
          <w:color w:val="2E75B6"/>
          <w:sz w:val="21"/>
        </w:rPr>
        <w:t>TECHNICAL PROJECTS — HOMELAB &amp; AI PORTFOLIO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AI Infrastructure &amp; Semantic Search Platform</w:t>
      </w:r>
      <w:r>
        <w:rPr>
          <w:rFonts w:ascii="Arial" w:hAnsi="Arial"/>
          <w:color w:val="888888"/>
          <w:sz w:val="17"/>
        </w:rPr>
        <w:tab/>
        <w:t>2024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19"/>
        </w:rPr>
        <w:t>Personal Project — Python, pgvector, Ollama, MCP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Architected a GPU-accelerated AI inference stack (RTX 2080 Ti via VFIO passthrough) running local LLMs (Llama 3.2, qwen3-embedding-8b) for document classification and 1024-dim vector embeddings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Built 3 custom MCP servers in Python (jcodemunch, jdocmunch, ai-search) providing AST-aware code search, semantic document retrieval, and pgvector similarity queries to Claude Code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Developed a RAG pipeline with code-aware chunking (40+ languages via tree-sitter), vector embedding, and HTTP API gateway—enabling semantic codebase search across all homelab repositories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Engineered a PDF intelligence pipeline (Marker PDF → Ollama PARA classification → Obsidian vault routing) processing documents end-to-end with AI-generated filenames via OpenRouter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Self-Hosted Infrastructure Platform</w:t>
      </w:r>
      <w:r>
        <w:rPr>
          <w:rFonts w:ascii="Arial" w:hAnsi="Arial"/>
          <w:color w:val="888888"/>
          <w:sz w:val="17"/>
        </w:rPr>
        <w:tab/>
        <w:t>2023 –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19"/>
        </w:rPr>
        <w:t>Personal Project — Proxmox, Docker, Tailscale, Gitea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Designed and operated a multi-node virtualization platform (Proxmox VE on x86_64 + Raspberry Pi 5) hosting 8 nodes, 17+ Docker Compose stacks, and 36+ reverse proxy routes via high-availability Caddy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Implemented zero-trust networking with Tailscale mesh VPN, ACL-as-code (Git-managed policy.hujson validated via CI/CD), and split DNS with automatic failover (keepalived VRRP) across dual Technitium DNS nodes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Built a CI/CD platform on Gitea Actions with automated secret scanning (Gitleaks), vector embedding pipelines, and deployment workflows featuring pre-deploy validation, Bitwarden secrets injection, and post-deploy health verification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Authored 107+ architectural decision records, 16 custom Claude Code skills, 5 pre/post-tool hooks, and 15+ service documentation files—maintaining a comprehensive knowledge base in Obsidian</w:t>
      </w:r>
    </w:p>
    <w:p>
      <w:pPr>
        <w:spacing w:before="200" w:after="60"/>
        <w:pBdr>
          <w:bottom w:val="single" w:sz="6" w:space="2" w:color="2E75B6"/>
        </w:pBdr>
      </w:pPr>
      <w:r>
        <w:rPr>
          <w:rFonts w:ascii="Arial" w:hAnsi="Arial"/>
          <w:b/>
          <w:color w:val="2E75B6"/>
          <w:sz w:val="21"/>
        </w:rPr>
        <w:t>PROFESSIONAL EXPERIENCE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County of Santa Clara</w:t>
      </w:r>
      <w:r>
        <w:rPr>
          <w:rFonts w:ascii="Arial" w:hAnsi="Arial"/>
          <w:color w:val="888888"/>
          <w:sz w:val="17"/>
        </w:rPr>
        <w:tab/>
        <w:t>Aug 2024 – Feb 2026</w:t>
      </w:r>
    </w:p>
    <w:p>
      <w:pPr>
        <w:tabs>
          <w:tab w:pos="10512" w:val="right"/>
        </w:tabs>
        <w:spacing w:before="0" w:after="40"/>
      </w:pPr>
      <w:r>
        <w:rPr>
          <w:rFonts w:ascii="Arial" w:hAnsi="Arial"/>
          <w:i/>
          <w:color w:val="555555"/>
          <w:sz w:val="19"/>
        </w:rPr>
        <w:t>Communications Associate</w:t>
      </w:r>
      <w:r>
        <w:rPr>
          <w:rFonts w:ascii="Arial" w:hAnsi="Arial"/>
          <w:color w:val="888888"/>
          <w:sz w:val="17"/>
        </w:rPr>
        <w:tab/>
        <w:t>Santa Clara, CA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Produced 50+ government communication assets (video, graphics, written content) reaching 1.8M+ county residents across digital and print channels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Drove 35% increase in public engagement by redesigning the content strategy to prioritize data-driven storytelling and audience segmentation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Coordinated cross-departmental projects with 6+ agency teams, reducing production timelines by 25% through standardized workflows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Balsam Brands</w:t>
      </w:r>
      <w:r>
        <w:rPr>
          <w:rFonts w:ascii="Arial" w:hAnsi="Arial"/>
          <w:color w:val="888888"/>
          <w:sz w:val="17"/>
        </w:rPr>
        <w:tab/>
        <w:t>Jun 2019 – Sep 2023</w:t>
      </w:r>
    </w:p>
    <w:p>
      <w:pPr>
        <w:tabs>
          <w:tab w:pos="10512" w:val="right"/>
        </w:tabs>
        <w:spacing w:before="0" w:after="40"/>
      </w:pPr>
      <w:r>
        <w:rPr>
          <w:rFonts w:ascii="Arial" w:hAnsi="Arial"/>
          <w:i/>
          <w:color w:val="555555"/>
          <w:sz w:val="19"/>
        </w:rPr>
        <w:t>Videographer &amp; Production Lead</w:t>
      </w:r>
      <w:r>
        <w:rPr>
          <w:rFonts w:ascii="Arial" w:hAnsi="Arial"/>
          <w:color w:val="888888"/>
          <w:sz w:val="17"/>
        </w:rPr>
        <w:tab/>
        <w:t>Redwood City, CA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Produced 200+ advertising/marketing videos driving measurable engagement increases across 4 social platforms (2M+ impressions annually)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Engineered a remote production workflow enabling 15+ collaborators to participate in real-time, cutting coordination overhead by 30%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Designed 5+ in-studio sets that elevated brand imagery across direct mail, website, and social channels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abadimage (Self-Employed)</w:t>
      </w:r>
      <w:r>
        <w:rPr>
          <w:rFonts w:ascii="Arial" w:hAnsi="Arial"/>
          <w:color w:val="888888"/>
          <w:sz w:val="17"/>
        </w:rPr>
        <w:tab/>
        <w:t>Jul 2010 – Aug 2024</w:t>
      </w:r>
    </w:p>
    <w:p>
      <w:pPr>
        <w:tabs>
          <w:tab w:pos="10512" w:val="right"/>
        </w:tabs>
        <w:spacing w:before="0" w:after="40"/>
      </w:pPr>
      <w:r>
        <w:rPr>
          <w:rFonts w:ascii="Arial" w:hAnsi="Arial"/>
          <w:i/>
          <w:color w:val="555555"/>
          <w:sz w:val="19"/>
        </w:rPr>
        <w:t>Content Creator &amp; Technical Producer</w:t>
      </w:r>
      <w:r>
        <w:rPr>
          <w:rFonts w:ascii="Arial" w:hAnsi="Arial"/>
          <w:color w:val="888888"/>
          <w:sz w:val="17"/>
        </w:rPr>
        <w:tab/>
        <w:t>San Jose, CA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Built and scaled a content production business over 14 years, delivering 500+ projects with 98% client satisfaction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Managed all technical infrastructure (network setup, cloud file management, equipment) for remote collaboration with 20+ recurring clients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Movement Lifestyle LLC</w:t>
      </w:r>
      <w:r>
        <w:rPr>
          <w:rFonts w:ascii="Arial" w:hAnsi="Arial"/>
          <w:color w:val="888888"/>
          <w:sz w:val="17"/>
        </w:rPr>
        <w:tab/>
        <w:t>Jul 2016 – Nov 2018</w:t>
      </w:r>
    </w:p>
    <w:p>
      <w:pPr>
        <w:tabs>
          <w:tab w:pos="10512" w:val="right"/>
        </w:tabs>
        <w:spacing w:before="0" w:after="40"/>
      </w:pPr>
      <w:r>
        <w:rPr>
          <w:rFonts w:ascii="Arial" w:hAnsi="Arial"/>
          <w:i/>
          <w:color w:val="555555"/>
          <w:sz w:val="19"/>
        </w:rPr>
        <w:t>Studio Manager</w:t>
      </w:r>
      <w:r>
        <w:rPr>
          <w:rFonts w:ascii="Arial" w:hAnsi="Arial"/>
          <w:color w:val="888888"/>
          <w:sz w:val="17"/>
        </w:rPr>
        <w:tab/>
        <w:t>North Hollywood, CA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Scaled social media following by 60% (3K → 8K+ followers) and drove 15% increase in new student enrollment through targeted content strategies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Restructured instructor compensation based on attendance data, improving retention by 25% and aligning costs with revenue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Providence Medical Center</w:t>
      </w:r>
      <w:r>
        <w:rPr>
          <w:rFonts w:ascii="Arial" w:hAnsi="Arial"/>
          <w:color w:val="888888"/>
          <w:sz w:val="17"/>
        </w:rPr>
        <w:tab/>
        <w:t>Apr 2013 – Nov 2014</w:t>
      </w:r>
    </w:p>
    <w:p>
      <w:pPr>
        <w:tabs>
          <w:tab w:pos="10512" w:val="right"/>
        </w:tabs>
        <w:spacing w:before="0" w:after="40"/>
      </w:pPr>
      <w:r>
        <w:rPr>
          <w:rFonts w:ascii="Arial" w:hAnsi="Arial"/>
          <w:i/>
          <w:color w:val="555555"/>
          <w:sz w:val="19"/>
        </w:rPr>
        <w:t>Desktop Support Technician – EPIC Systems</w:t>
      </w:r>
      <w:r>
        <w:rPr>
          <w:rFonts w:ascii="Arial" w:hAnsi="Arial"/>
          <w:color w:val="888888"/>
          <w:sz w:val="17"/>
        </w:rPr>
        <w:tab/>
        <w:t>Southern California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Deployed 300+ workstations across 5 medical center locations for the EPIC EHR rollout, achieving 100% on-time go-live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Documented current/future-state inventories for all computing assets—creating the single source of truth referenced by 3 project teams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U.S. Army Reserve</w:t>
      </w:r>
      <w:r>
        <w:rPr>
          <w:rFonts w:ascii="Arial" w:hAnsi="Arial"/>
          <w:color w:val="888888"/>
          <w:sz w:val="17"/>
        </w:rPr>
        <w:tab/>
        <w:t>Nov 2004 – Oct 2012</w:t>
      </w:r>
    </w:p>
    <w:p>
      <w:pPr>
        <w:spacing w:before="0" w:after="40"/>
      </w:pPr>
      <w:r>
        <w:rPr>
          <w:rFonts w:ascii="Arial" w:hAnsi="Arial"/>
          <w:i/>
          <w:color w:val="555555"/>
          <w:sz w:val="19"/>
        </w:rPr>
        <w:t>Information Systems Specialist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Managed network operations and service desk supporting 80,000+ military personnel across multiple branches during Operation Iraqi Freedom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Administered mission-critical computer systems in high-security DoD environments, maintaining 99.9% uptime during active operations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Served as primary IT liaison resolving 200+ support tickets monthly, coordinating across service members, contractors, and local nationals</w:t>
      </w:r>
    </w:p>
    <w:p>
      <w:pPr>
        <w:tabs>
          <w:tab w:pos="10512" w:val="right"/>
        </w:tabs>
        <w:spacing w:before="140" w:after="0"/>
      </w:pPr>
      <w:r>
        <w:rPr>
          <w:rFonts w:ascii="Arial" w:hAnsi="Arial"/>
          <w:b/>
          <w:color w:val="1A1A2E"/>
          <w:sz w:val="20"/>
        </w:rPr>
        <w:t>Earlier IT Roles</w:t>
      </w:r>
      <w:r>
        <w:rPr>
          <w:rFonts w:ascii="Arial" w:hAnsi="Arial"/>
          <w:color w:val="888888"/>
          <w:sz w:val="17"/>
        </w:rPr>
        <w:tab/>
        <w:t>Jan 2007 – Mar 2010</w:t>
      </w:r>
    </w:p>
    <w:p>
      <w:pPr>
        <w:tabs>
          <w:tab w:pos="10512" w:val="right"/>
        </w:tabs>
        <w:spacing w:before="0" w:after="40"/>
      </w:pPr>
      <w:r>
        <w:rPr>
          <w:rFonts w:ascii="Arial" w:hAnsi="Arial"/>
          <w:i/>
          <w:color w:val="555555"/>
          <w:sz w:val="19"/>
        </w:rPr>
        <w:t>Help Desk / Desktop Support / Server Relocation</w:t>
      </w:r>
      <w:r>
        <w:rPr>
          <w:rFonts w:ascii="Arial" w:hAnsi="Arial"/>
          <w:color w:val="888888"/>
          <w:sz w:val="17"/>
        </w:rPr>
        <w:tab/>
        <w:t>San Francisco Bay Area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First Republic Bank, Murphy McKay &amp; Associates, SF Dept. of Public Health — resolved 60+ tickets/week, executed 150+ server relocations with zero data loss, maintained 100% asset accountability across 200+ workstation deployments</w:t>
      </w:r>
    </w:p>
    <w:p>
      <w:pPr>
        <w:spacing w:before="200" w:after="60"/>
        <w:pBdr>
          <w:bottom w:val="single" w:sz="6" w:space="2" w:color="2E75B6"/>
        </w:pBdr>
      </w:pPr>
      <w:r>
        <w:rPr>
          <w:rFonts w:ascii="Arial" w:hAnsi="Arial"/>
          <w:b/>
          <w:color w:val="2E75B6"/>
          <w:sz w:val="21"/>
        </w:rPr>
        <w:t>EDUCATION</w:t>
      </w:r>
    </w:p>
    <w:p>
      <w:pPr>
        <w:tabs>
          <w:tab w:pos="10512" w:val="right"/>
        </w:tabs>
        <w:spacing w:before="60" w:after="0"/>
      </w:pPr>
      <w:r>
        <w:rPr>
          <w:rFonts w:ascii="Arial" w:hAnsi="Arial"/>
          <w:b/>
          <w:color w:val="1A1A2E"/>
          <w:sz w:val="19"/>
        </w:rPr>
        <w:t>DeVry University – California</w:t>
      </w:r>
      <w:r>
        <w:rPr>
          <w:rFonts w:ascii="Arial" w:hAnsi="Arial"/>
          <w:color w:val="888888"/>
          <w:sz w:val="17"/>
        </w:rPr>
        <w:tab/>
        <w:t>2009 – 2013</w:t>
      </w:r>
    </w:p>
    <w:p>
      <w:pPr>
        <w:spacing w:before="0" w:after="40"/>
      </w:pPr>
      <w:r>
        <w:rPr>
          <w:rFonts w:ascii="Arial" w:hAnsi="Arial"/>
          <w:i/>
          <w:color w:val="555555"/>
          <w:sz w:val="18"/>
        </w:rPr>
        <w:t>Networking and Communication Management, Computer Networking</w:t>
      </w:r>
    </w:p>
    <w:p>
      <w:pPr>
        <w:spacing w:before="200" w:after="60"/>
        <w:pBdr>
          <w:bottom w:val="single" w:sz="6" w:space="2" w:color="2E75B6"/>
        </w:pBdr>
      </w:pPr>
      <w:r>
        <w:rPr>
          <w:rFonts w:ascii="Arial" w:hAnsi="Arial"/>
          <w:b/>
          <w:color w:val="2E75B6"/>
          <w:sz w:val="21"/>
        </w:rPr>
        <w:t>ADDITIONAL</w:t>
      </w:r>
    </w:p>
    <w:p>
      <w:pPr>
        <w:spacing w:before="10" w:after="10"/>
        <w:ind w:left="317" w:hanging="202"/>
      </w:pPr>
      <w:r>
        <w:rPr>
          <w:rFonts w:ascii="Arial" w:hAnsi="Arial"/>
          <w:color w:val="2E75B6"/>
          <w:sz w:val="19"/>
        </w:rPr>
        <w:t xml:space="preserve">•  </w:t>
      </w:r>
      <w:r>
        <w:rPr>
          <w:rFonts w:ascii="Arial" w:hAnsi="Arial"/>
          <w:color w:val="1A1A2E"/>
          <w:sz w:val="18"/>
        </w:rPr>
        <w:t>U.S. Army Veteran – 8 years of honorable service including overseas deployment (Operation Iraqi Freedom)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