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7B39C85C">
      <w:pPr>
        <w:pStyle w:val="style66"/>
        <w:spacing w:before="74" w:lineRule="auto" w:line="175"/>
        <w:jc w:val="center"/>
        <w:outlineLvl w:val="0"/>
        <w:rPr>
          <w:spacing w:val="-3"/>
          <w:sz w:val="40"/>
          <w:szCs w:val="40"/>
          <w:lang w:val="en-US"/>
        </w:rPr>
      </w:pPr>
    </w:p>
    <w:p w14:paraId="E59A31F1">
      <w:pPr>
        <w:pStyle w:val="style66"/>
        <w:spacing w:before="74" w:lineRule="auto" w:line="175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起诉状</w:t>
      </w:r>
    </w:p>
    <w:p w14:paraId="F566F681">
      <w:pPr>
        <w:pStyle w:val="style0"/>
        <w:spacing w:lineRule="auto" w:line="303"/>
        <w:rPr>
          <w:rFonts w:ascii="Arial"/>
          <w:sz w:val="21"/>
        </w:rPr>
      </w:pPr>
    </w:p>
    <w:p w14:paraId="0D8B9391">
      <w:pPr>
        <w:pStyle w:val="style0"/>
        <w:spacing w:lineRule="auto" w:line="303"/>
        <w:rPr>
          <w:rFonts w:ascii="Arial"/>
          <w:sz w:val="21"/>
        </w:rPr>
      </w:pPr>
    </w:p>
    <w:p w14:paraId="1D7F56A7">
      <w:pPr>
        <w:pStyle w:val="style66"/>
        <w:spacing w:before="103" w:lineRule="auto" w:line="175"/>
        <w:ind w:left="34"/>
        <w:rPr>
          <w:rFonts w:ascii="宋体" w:eastAsia="宋体"/>
          <w:sz w:val="24"/>
          <w:szCs w:val="24"/>
        </w:rPr>
      </w:pPr>
      <w:r>
        <w:rPr>
          <w:rFonts w:ascii="宋体" w:cs="Times New Roman" w:eastAsia="宋体" w:hAnsi="宋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起诉人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：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何义军、男、1984年02月22日出生、汉族、</w:t>
      </w:r>
      <w:r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13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公民身份号码431126198402221233</w:t>
      </w:r>
      <w:r>
        <w:rPr>
          <w:rFonts w:ascii="Microsoft YaHei" w:cs="Microsoft YaHei" w:eastAsia="Microsoft YaHei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13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，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住四川省成都市高新区天府大道北段18号附10号、电话19250199051</w:t>
      </w:r>
    </w:p>
    <w:p w14:paraId="EF5361B5">
      <w:pPr>
        <w:pStyle w:val="style66"/>
        <w:spacing w:before="103" w:lineRule="auto" w:line="175"/>
        <w:ind w:left="34"/>
        <w:rPr>
          <w:rFonts w:ascii="宋体" w:eastAsia="宋体"/>
          <w:sz w:val="24"/>
          <w:szCs w:val="24"/>
        </w:rPr>
      </w:pPr>
      <w:r>
        <w:rPr>
          <w:rFonts w:ascii="宋体" w:cs="Times New Roman" w:eastAsia="宋体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被起诉人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：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最高人民法院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住北京市东城区东交民巷27号</w:t>
      </w:r>
      <w:r>
        <w:rPr>
          <w:rFonts w:ascii="Times New Roman" w:cs="Times New Roman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邮编:100745</w:t>
      </w:r>
      <w:r>
        <w:rPr>
          <w:rFonts w:ascii="Times New Roman" w:cs="Times New Roman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总机:67550114</w:t>
      </w:r>
      <w:r>
        <w:rPr>
          <w:rFonts w:ascii="Times New Roman" w:cs="Times New Roman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举报电话:67556131。</w:t>
      </w:r>
    </w:p>
    <w:p w14:paraId="6F5B44C0">
      <w:pPr>
        <w:pStyle w:val="style0"/>
        <w:spacing w:lineRule="auto" w:line="336"/>
        <w:rPr>
          <w:rFonts w:ascii="宋体" w:eastAsia="宋体"/>
          <w:sz w:val="24"/>
          <w:szCs w:val="24"/>
        </w:rPr>
      </w:pPr>
    </w:p>
    <w:p w14:paraId="50B3C396">
      <w:pPr>
        <w:pStyle w:val="style66"/>
        <w:spacing w:before="103" w:lineRule="auto" w:line="175"/>
        <w:rPr>
          <w:rFonts w:ascii="宋体" w:eastAsia="宋体"/>
          <w:sz w:val="24"/>
          <w:szCs w:val="24"/>
        </w:rPr>
      </w:pPr>
      <w:r>
        <w:rPr>
          <w:rFonts w:ascii="宋体" w:eastAsia="宋体"/>
          <w:b/>
          <w:bCs/>
          <w:spacing w:val="11"/>
          <w:sz w:val="24"/>
          <w:szCs w:val="24"/>
          <w:lang w:val="en-US"/>
        </w:rPr>
        <w:t>起诉请求</w:t>
      </w:r>
      <w:r>
        <w:rPr>
          <w:rFonts w:ascii="宋体" w:eastAsia="宋体"/>
          <w:spacing w:val="11"/>
          <w:sz w:val="24"/>
          <w:szCs w:val="24"/>
        </w:rPr>
        <w:t>:</w:t>
      </w:r>
    </w:p>
    <w:p w14:paraId="84CD9F5D">
      <w:pPr>
        <w:pStyle w:val="style66"/>
        <w:numPr>
          <w:ilvl w:val="0"/>
          <w:numId w:val="1"/>
        </w:numPr>
        <w:spacing w:before="60" w:lineRule="auto" w:line="175"/>
        <w:rPr>
          <w:rFonts w:ascii="宋体" w:eastAsia="宋体"/>
          <w:spacing w:val="-6"/>
          <w:sz w:val="24"/>
          <w:szCs w:val="24"/>
          <w:lang w:val="en-US"/>
        </w:rPr>
      </w:pPr>
      <w:r>
        <w:rPr>
          <w:rFonts w:ascii="宋体" w:eastAsia="宋体"/>
          <w:spacing w:val="-6"/>
          <w:sz w:val="24"/>
          <w:szCs w:val="24"/>
          <w:lang w:val="en-US"/>
        </w:rPr>
        <w:t>申请最高人民检察院立案监督"(2025)粤0391民初8980号"。</w:t>
      </w:r>
    </w:p>
    <w:p w14:paraId="F190D96D">
      <w:pPr>
        <w:pStyle w:val="style66"/>
        <w:numPr>
          <w:ilvl w:val="0"/>
          <w:numId w:val="1"/>
        </w:numPr>
        <w:spacing w:before="60" w:lineRule="auto" w:line="175"/>
        <w:rPr>
          <w:rFonts w:ascii="宋体" w:eastAsia="宋体"/>
          <w:spacing w:val="-6"/>
          <w:sz w:val="24"/>
          <w:szCs w:val="24"/>
          <w:lang w:val="en-US"/>
        </w:rPr>
      </w:pPr>
      <w:r>
        <w:rPr>
          <w:rFonts w:ascii="宋体" w:eastAsia="宋体"/>
          <w:spacing w:val="-6"/>
          <w:sz w:val="24"/>
          <w:szCs w:val="24"/>
          <w:lang w:val="en-US"/>
        </w:rPr>
        <w:t>代本人对"最高人民法院"的侵权责任</w:t>
      </w:r>
      <w:r>
        <w:rPr>
          <w:spacing w:val="-6"/>
          <w:sz w:val="24"/>
          <w:szCs w:val="24"/>
          <w:lang w:val="en-US"/>
        </w:rPr>
        <w:t>，</w:t>
      </w:r>
      <w:r>
        <w:rPr>
          <w:rFonts w:ascii="宋体" w:eastAsia="宋体"/>
          <w:spacing w:val="-6"/>
          <w:sz w:val="24"/>
          <w:szCs w:val="24"/>
          <w:lang w:val="en-US"/>
        </w:rPr>
        <w:t>发起行政诉讼并要求国家赔偿。</w:t>
      </w:r>
    </w:p>
    <w:p w14:paraId="01B35308">
      <w:pPr>
        <w:pStyle w:val="style66"/>
        <w:numPr>
          <w:ilvl w:val="0"/>
          <w:numId w:val="1"/>
        </w:numPr>
        <w:spacing w:before="60" w:lineRule="auto" w:line="175"/>
        <w:rPr>
          <w:rFonts w:ascii="宋体" w:eastAsia="宋体"/>
          <w:sz w:val="24"/>
          <w:szCs w:val="24"/>
        </w:rPr>
      </w:pPr>
      <w:r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一并申请"最高人民检察院"对"最高人民法院"的不当行政作为发起公益行政诉讼。</w:t>
      </w:r>
    </w:p>
    <w:p w14:paraId="38DC0D8C">
      <w:pPr>
        <w:pStyle w:val="style0"/>
        <w:spacing w:lineRule="auto" w:line="315"/>
        <w:rPr>
          <w:rFonts w:ascii="宋体" w:eastAsia="宋体"/>
          <w:sz w:val="24"/>
          <w:szCs w:val="24"/>
        </w:rPr>
      </w:pPr>
    </w:p>
    <w:p w14:paraId="91BA784C">
      <w:pPr>
        <w:pStyle w:val="style66"/>
        <w:spacing w:before="103" w:lineRule="auto" w:line="175"/>
        <w:ind w:left="3"/>
        <w:rPr>
          <w:rFonts w:ascii="宋体" w:eastAsia="宋体"/>
          <w:sz w:val="24"/>
          <w:szCs w:val="24"/>
        </w:rPr>
      </w:pPr>
      <w:r>
        <w:rPr>
          <w:rFonts w:ascii="宋体" w:eastAsia="宋体"/>
          <w:b/>
          <w:bCs/>
          <w:spacing w:val="8"/>
          <w:sz w:val="24"/>
          <w:szCs w:val="24"/>
        </w:rPr>
        <w:t>理由</w:t>
      </w:r>
      <w:r>
        <w:rPr>
          <w:rFonts w:ascii="宋体" w:eastAsia="宋体"/>
          <w:spacing w:val="8"/>
          <w:sz w:val="24"/>
          <w:szCs w:val="24"/>
        </w:rPr>
        <w:t>:</w:t>
      </w:r>
    </w:p>
    <w:p w14:paraId="3789BC86">
      <w:pPr>
        <w:pStyle w:val="style66"/>
        <w:numPr>
          <w:ilvl w:val="0"/>
          <w:numId w:val="2"/>
        </w:numPr>
        <w:spacing w:before="60" w:lineRule="auto" w:line="210"/>
        <w:rPr>
          <w:rFonts w:ascii="宋体" w:eastAsia="宋体" w:hAnsi="宋体"/>
          <w:spacing w:val="-6"/>
          <w:sz w:val="24"/>
          <w:szCs w:val="24"/>
        </w:rPr>
      </w:pPr>
      <w:r>
        <w:rPr>
          <w:rFonts w:ascii="宋体" w:eastAsia="宋体" w:hAnsi="宋体"/>
          <w:spacing w:val="-6"/>
          <w:sz w:val="24"/>
          <w:szCs w:val="24"/>
          <w:lang w:val="en-US"/>
        </w:rPr>
        <w:t>本人在诉腾讯子公司微信支付的"(2025)粤0391民初8980号"由深圳前海合作区人民法院审理的案件过程，发现侵占本人以及"全国使用移动微法院的案件当事人"的宪法保障的"诉讼权"和"公平、正义"的事实和证据。</w:t>
      </w:r>
    </w:p>
    <w:p w14:paraId="97E32694">
      <w:pPr>
        <w:pStyle w:val="style66"/>
        <w:numPr>
          <w:ilvl w:val="0"/>
          <w:numId w:val="2"/>
        </w:numPr>
        <w:spacing w:before="60" w:lineRule="auto" w:line="210"/>
        <w:rPr>
          <w:rFonts w:ascii="宋体" w:eastAsia="宋体" w:hAnsi="宋体"/>
          <w:spacing w:val="-6"/>
          <w:sz w:val="24"/>
          <w:szCs w:val="24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"移动微法院平台"不仅违反"证据法"及《最高人民法院关于民事诉讼证据的若干规定》（2019年修正版）第十四条规定。</w:t>
      </w:r>
    </w:p>
    <w:p w14:paraId="FD830E9B">
      <w:pPr>
        <w:pStyle w:val="style66"/>
        <w:numPr>
          <w:ilvl w:val="0"/>
          <w:numId w:val="2"/>
        </w:numPr>
        <w:spacing w:before="60" w:lineRule="auto" w:line="210"/>
        <w:rPr>
          <w:rFonts w:ascii="宋体" w:eastAsia="宋体" w:hAnsi="宋体"/>
          <w:spacing w:val="-6"/>
          <w:sz w:val="24"/>
          <w:szCs w:val="24"/>
        </w:rPr>
      </w:pPr>
      <w:r>
        <w:rPr>
          <w:rFonts w:ascii="宋体" w:eastAsia="宋体" w:hAnsi="宋体"/>
          <w:spacing w:val="-6"/>
          <w:sz w:val="24"/>
          <w:szCs w:val="24"/>
          <w:lang w:val="en-US"/>
        </w:rPr>
        <w:t>"移动微法院平台"(</w:t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"最高人民法院"</w:t>
      </w:r>
      <w:r>
        <w:rPr>
          <w:rFonts w:ascii="宋体" w:eastAsia="宋体" w:hAnsi="宋体"/>
          <w:spacing w:val="-6"/>
          <w:sz w:val="24"/>
          <w:szCs w:val="24"/>
          <w:lang w:val="en-US"/>
        </w:rPr>
        <w:t>行政作为)长达5年以上至今不支持传"录音文件"。</w:t>
      </w:r>
    </w:p>
    <w:p w14:paraId="B6829654">
      <w:pPr>
        <w:pStyle w:val="style66"/>
        <w:numPr>
          <w:ilvl w:val="0"/>
          <w:numId w:val="0"/>
        </w:numPr>
        <w:spacing w:before="60" w:lineRule="auto" w:line="210"/>
        <w:rPr>
          <w:rFonts w:ascii="宋体" w:eastAsia="宋体" w:hAnsi="宋体"/>
          <w:spacing w:val="-6"/>
          <w:sz w:val="24"/>
          <w:szCs w:val="24"/>
        </w:rPr>
      </w:pPr>
    </w:p>
    <w:p w14:paraId="14FA250B">
      <w:pPr>
        <w:pStyle w:val="style66"/>
        <w:numPr>
          <w:ilvl w:val="0"/>
          <w:numId w:val="0"/>
        </w:numPr>
        <w:spacing w:before="60" w:lineRule="auto" w:line="210"/>
        <w:rPr>
          <w:rFonts w:ascii="宋体" w:eastAsia="宋体" w:hAnsi="宋体"/>
          <w:b/>
          <w:bCs/>
          <w:spacing w:val="-6"/>
          <w:sz w:val="24"/>
          <w:szCs w:val="24"/>
        </w:rPr>
      </w:pPr>
      <w:r>
        <w:rPr>
          <w:rFonts w:ascii="宋体" w:eastAsia="宋体" w:hAnsi="宋体"/>
          <w:b/>
          <w:bCs/>
          <w:spacing w:val="-6"/>
          <w:sz w:val="24"/>
          <w:szCs w:val="24"/>
          <w:lang w:val="en-US"/>
        </w:rPr>
        <w:t>事实:</w:t>
      </w:r>
    </w:p>
    <w:p w14:paraId="1A933043">
      <w:pPr>
        <w:pStyle w:val="style66"/>
        <w:numPr>
          <w:ilvl w:val="0"/>
          <w:numId w:val="8"/>
        </w:numPr>
        <w:spacing w:before="60" w:lineRule="auto" w:line="210"/>
        <w:rPr>
          <w:rFonts w:ascii="宋体" w:eastAsia="宋体" w:hAnsi="宋体"/>
          <w:spacing w:val="-6"/>
          <w:sz w:val="24"/>
          <w:szCs w:val="24"/>
        </w:rPr>
      </w:pPr>
      <w:r>
        <w:rPr>
          <w:rFonts w:ascii="宋体" w:eastAsia="宋体" w:hAnsi="宋体"/>
          <w:spacing w:val="-6"/>
          <w:sz w:val="24"/>
          <w:szCs w:val="24"/>
          <w:lang w:val="en-US"/>
        </w:rPr>
        <w:t>"线上立案审理"只能用"深圳移动微法院平台"和"广东法院诉讼服务网"，线下立案必然推高原被告及法官的成本</w:t>
      </w:r>
      <w:r>
        <w:rPr>
          <w:rFonts w:ascii="宋体" w:hAnsi="宋体"/>
          <w:spacing w:val="-6"/>
          <w:sz w:val="24"/>
          <w:szCs w:val="24"/>
          <w:lang w:val="en-US"/>
        </w:rPr>
        <w:t>，</w:t>
      </w:r>
      <w:r>
        <w:rPr>
          <w:rFonts w:ascii="宋体" w:eastAsia="宋体" w:hAnsi="宋体"/>
          <w:spacing w:val="-6"/>
          <w:sz w:val="24"/>
          <w:szCs w:val="24"/>
          <w:lang w:val="en-US"/>
        </w:rPr>
        <w:t>侵占原被告以及法官的权利。</w:t>
      </w:r>
    </w:p>
    <w:p w14:paraId="31BE32C6">
      <w:pPr>
        <w:pStyle w:val="style66"/>
        <w:numPr>
          <w:ilvl w:val="0"/>
          <w:numId w:val="0"/>
        </w:numPr>
        <w:spacing w:before="60" w:lineRule="auto" w:line="210"/>
        <w:ind w:left="420" w:firstLine="0"/>
        <w:rPr>
          <w:rFonts w:ascii="宋体" w:eastAsia="宋体" w:hAnsi="宋体"/>
          <w:spacing w:val="-6"/>
          <w:sz w:val="24"/>
          <w:szCs w:val="24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至今2025不能传"法律法规明确规定录音文件"电子证据。公益行政诉讼必要必须。</w:t>
      </w:r>
    </w:p>
    <w:p w14:paraId="1E600C83">
      <w:pPr>
        <w:pStyle w:val="style66"/>
        <w:numPr>
          <w:ilvl w:val="0"/>
          <w:numId w:val="8"/>
        </w:numPr>
        <w:spacing w:before="60" w:lineRule="auto" w:line="210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eastAsia="宋体" w:hAnsi="宋体"/>
          <w:spacing w:val="-6"/>
          <w:sz w:val="24"/>
          <w:szCs w:val="24"/>
          <w:lang w:val="en-US"/>
        </w:rPr>
        <w:t>(2025)粤0391民初8980号案审过程，"深圳移动微法院"不支持提交"案件的核心证据之一的录音原文件"。</w:t>
      </w:r>
    </w:p>
    <w:p w14:paraId="2EF5F8AB">
      <w:pPr>
        <w:pStyle w:val="style66"/>
        <w:numPr>
          <w:ilvl w:val="0"/>
          <w:numId w:val="8"/>
        </w:numPr>
        <w:spacing w:before="60" w:lineRule="auto" w:line="210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"移动微法院平台"是"最高人民法院"决策主导"建设并推广全国法院强制应用"的，在2018年就开始了。于2020年1月实现全国各个省级区域全覆盖。</w:t>
      </w:r>
    </w:p>
    <w:p w14:paraId="8765BC15">
      <w:pPr>
        <w:pStyle w:val="style0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jc w:val="left"/>
        <w:textAlignment w:val="baseline"/>
        <w:rPr>
          <w:rFonts w:ascii="宋体" w:cs="Microsoft YaHei" w:eastAsia="宋体" w:hAnsi="宋体" w:hint="default"/>
          <w:b/>
          <w:bCs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</w:p>
    <w:p w14:paraId="AA5B0DAC">
      <w:pPr>
        <w:pStyle w:val="style0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/>
          <w:bCs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证据</w:t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:</w:t>
      </w:r>
    </w:p>
    <w:p w14:paraId="E87F65F9">
      <w:pPr>
        <w:pStyle w:val="style179"/>
        <w:numPr>
          <w:ilvl w:val="0"/>
          <w:numId w:val="11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诉腾讯子公司微信支付案的(2025)粤0391民初8980号</w:t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起诉状。</w:t>
      </w:r>
    </w:p>
    <w:p w14:paraId="1BEFCC62">
      <w:pPr>
        <w:pStyle w:val="style179"/>
        <w:numPr>
          <w:ilvl w:val="0"/>
          <w:numId w:val="11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案涉"核心证据之一": 财付通客服"商业情报攻击"的通话录音原文件。</w:t>
      </w:r>
    </w:p>
    <w:p w14:paraId="3CBD57B9">
      <w:pPr>
        <w:pStyle w:val="style179"/>
        <w:numPr>
          <w:ilvl w:val="0"/>
          <w:numId w:val="11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案审期间发现使用"移动微法院"上"不能上传通话录音原文件"的使用截图；</w:t>
      </w:r>
    </w:p>
    <w:p w14:paraId="35AFC2A4">
      <w:pPr>
        <w:pStyle w:val="style179"/>
        <w:numPr>
          <w:ilvl w:val="0"/>
          <w:numId w:val="11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何义军诉阿里案(2025)浙0192民初15597号@杭州互联网法院 的起诉状；</w:t>
      </w:r>
    </w:p>
    <w:p w14:paraId="3E1922A7">
      <w:pPr>
        <w:pStyle w:val="style179"/>
        <w:numPr>
          <w:ilvl w:val="0"/>
          <w:numId w:val="11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何义军所受政治破害连环案汇总文件;</w:t>
      </w:r>
    </w:p>
    <w:p w14:paraId="56FF0ED1">
      <w:pPr>
        <w:pStyle w:val="style179"/>
        <w:numPr>
          <w:ilvl w:val="0"/>
          <w:numId w:val="11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"中国法学网"上署名作者"胡昌明"的公开文章"</w:t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fldChar w:fldCharType="begin"/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instrText xml:space="preserve"> HYPERLINK "http://iolaw.cssn.cn/zxzp/202105/t20210521_5335103.shtml" \o "http://iolaw.cssn.cn/zxzp/202105/t20210521_5335103.shtml"</w:instrText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fldChar w:fldCharType="separate"/>
      </w:r>
      <w:r>
        <w:rPr>
          <w:rStyle w:val="style85"/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移动电子诉讼的司法实践及其限度——以中国“移动微法院”为例</w:t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fldChar w:fldCharType="end"/>
      </w: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":</w:t>
      </w:r>
    </w:p>
    <w:p w14:paraId="9E990259">
      <w:pPr>
        <w:pStyle w:val="style179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left="420" w:firstLine="0"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引文网址: http://iolaw.cssn.cn/zxzp/202105/t20210521_5335103.shtml</w:t>
      </w:r>
    </w:p>
    <w:p w14:paraId="938F17C3">
      <w:pPr>
        <w:pStyle w:val="style179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left="420" w:firstLine="0"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特此摘要原文的关于"中国移动微法院的历史陈述"和"文章来源及可信官方认可"部分:</w:t>
      </w:r>
    </w:p>
    <w:p w14:paraId="C8C9A4D9">
      <w:pPr>
        <w:pStyle w:val="style179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left="420" w:firstLine="0"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A. "三年来，移动微法院逐渐从宁波推广到浙江乃至全国各地法院。2019年3月，移动微法院正式升级为“中国移动微法院”，在北京、河北等12个省（区、市）辖区法院试点后，于2020年1月，实现全国各个省级区域全覆盖。"</w:t>
      </w:r>
    </w:p>
    <w:p w14:paraId="4890940D">
      <w:pPr>
        <w:pStyle w:val="style179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left="420" w:firstLine="0"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B. "（本文为北京市习近平新时代中国特色社会主义思想研究中心项目、北京市社会科学基金项目“新时代中国特色社会主义法治体系建设的理论和实践研究”（项目编号：18ZDL18）的阶段性成果）"</w:t>
      </w:r>
    </w:p>
    <w:p w14:paraId="2A9C7D86">
      <w:pPr>
        <w:pStyle w:val="style179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ind w:left="420" w:firstLine="0" w:firstLineChars="0"/>
        <w:jc w:val="left"/>
        <w:textAlignment w:val="baseline"/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Microsoft YaHei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C. "作者：胡昌明，中国社会科学院法学研究所助理研究员、国家法治指数研究中心研究员。 原文来源：《中国应用法学》2021年第2期"。</w:t>
      </w:r>
    </w:p>
    <w:p w14:paraId="7AB48E9B">
      <w:pPr>
        <w:pStyle w:val="style0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jc w:val="left"/>
        <w:textAlignment w:val="baseline"/>
        <w:rPr>
          <w:rFonts w:ascii="宋体" w:eastAsia="宋体"/>
          <w:spacing w:val="-3"/>
          <w:sz w:val="24"/>
          <w:szCs w:val="24"/>
        </w:rPr>
      </w:pPr>
    </w:p>
    <w:p w14:paraId="7B2A26DF">
      <w:pPr>
        <w:pStyle w:val="style0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jc w:val="left"/>
        <w:textAlignment w:val="baseline"/>
        <w:rPr>
          <w:rFonts w:ascii="宋体" w:eastAsia="宋体"/>
          <w:spacing w:val="-3"/>
          <w:sz w:val="24"/>
          <w:szCs w:val="24"/>
        </w:rPr>
      </w:pPr>
    </w:p>
    <w:p w14:paraId="57E7A98D">
      <w:pPr>
        <w:pStyle w:val="style0"/>
        <w:numPr>
          <w:ilvl w:val="0"/>
          <w:numId w:val="0"/>
        </w:numPr>
        <w:kinsoku w:val="false"/>
        <w:autoSpaceDE w:val="false"/>
        <w:autoSpaceDN w:val="false"/>
        <w:adjustRightInd w:val="false"/>
        <w:snapToGrid w:val="false"/>
        <w:spacing w:before="60" w:lineRule="auto" w:line="211"/>
        <w:jc w:val="left"/>
        <w:textAlignment w:val="baseline"/>
        <w:rPr>
          <w:rFonts w:ascii="宋体" w:eastAsia="宋体"/>
          <w:sz w:val="24"/>
          <w:szCs w:val="24"/>
        </w:rPr>
      </w:pPr>
      <w:r>
        <w:rPr>
          <w:rFonts w:ascii="宋体" w:eastAsia="宋体"/>
          <w:spacing w:val="-3"/>
          <w:sz w:val="24"/>
          <w:szCs w:val="24"/>
        </w:rPr>
        <w:t>此致</w:t>
      </w:r>
    </w:p>
    <w:p w14:paraId="F2A7594C">
      <w:pPr>
        <w:pStyle w:val="style66"/>
        <w:spacing w:before="58" w:lineRule="auto" w:line="176"/>
        <w:ind w:left="400" w:leftChars="0"/>
        <w:rPr>
          <w:rFonts w:ascii="宋体" w:cs="Arial" w:eastAsia="宋体" w:hAnsi="Arial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eastAsia="en-US"/>
        </w:rPr>
      </w:pPr>
      <w:r>
        <w:rPr>
          <w:rFonts w:ascii="宋体" w:cs="Arial" w:eastAsia="宋体" w:hAnsi="Arial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最高人民检察院</w:t>
      </w:r>
      <w:r>
        <w:rPr>
          <w:rFonts w:ascii="宋体" w:cs="Arial" w:eastAsia="宋体" w:hAnsi="Arial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eastAsia="en-US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6282348</wp:posOffset>
            </wp:positionH>
            <wp:positionV relativeFrom="page">
              <wp:posOffset>10731620</wp:posOffset>
            </wp:positionV>
            <wp:extent cx="363089" cy="645159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100000">
                      <a:off x="0" y="0"/>
                      <a:ext cx="363089" cy="645159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1F63622">
      <w:pPr>
        <w:pStyle w:val="style66"/>
        <w:spacing w:before="58" w:lineRule="auto" w:line="176"/>
        <w:ind w:left="400" w:leftChars="0"/>
        <w:rPr>
          <w:rFonts w:ascii="宋体" w:eastAsia="宋体"/>
          <w:sz w:val="24"/>
          <w:szCs w:val="24"/>
        </w:rPr>
      </w:pPr>
      <w:r>
        <w:rPr>
          <w:rFonts w:ascii="宋体" w:eastAsia="宋体"/>
          <w:sz w:val="24"/>
          <w:szCs w:val="24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5941894</wp:posOffset>
            </wp:positionH>
            <wp:positionV relativeFrom="page">
              <wp:posOffset>10948195</wp:posOffset>
            </wp:positionV>
            <wp:extent cx="441473" cy="350694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1473" cy="350694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EF35A969">
      <w:pPr>
        <w:pStyle w:val="style66"/>
        <w:spacing w:before="103" w:lineRule="auto" w:line="210"/>
        <w:ind w:left="7089" w:right="240" w:firstLine="24"/>
        <w:rPr>
          <w:rFonts w:ascii="宋体" w:eastAsia="宋体"/>
          <w:sz w:val="24"/>
          <w:szCs w:val="24"/>
        </w:rPr>
      </w:pPr>
      <w:r>
        <w:rPr>
          <w:rFonts w:ascii="宋体" w:eastAsia="宋体"/>
          <w:spacing w:val="3"/>
          <w:sz w:val="24"/>
          <w:szCs w:val="24"/>
        </w:rPr>
        <w:t>申请人:</w:t>
      </w:r>
      <w:r>
        <w:rPr>
          <w:rFonts w:ascii="宋体" w:eastAsia="宋体"/>
          <w:sz w:val="24"/>
          <w:szCs w:val="24"/>
        </w:rPr>
        <w:t xml:space="preserve">  </w:t>
      </w:r>
    </w:p>
    <w:p w14:paraId="EAC17AE6">
      <w:pPr>
        <w:pStyle w:val="style66"/>
        <w:spacing w:before="103" w:lineRule="auto" w:line="210"/>
        <w:ind w:left="7089" w:right="240"/>
        <w:rPr>
          <w:sz w:val="22"/>
          <w:szCs w:val="22"/>
        </w:rPr>
      </w:pPr>
      <w:r>
        <w:rPr>
          <w:spacing w:val="-17"/>
          <w:sz w:val="22"/>
          <w:szCs w:val="22"/>
        </w:rPr>
        <w:t>2025年08月</w:t>
      </w:r>
      <w:r>
        <w:rPr>
          <w:spacing w:val="-17"/>
          <w:sz w:val="22"/>
          <w:szCs w:val="22"/>
          <w:lang w:val="en-US"/>
        </w:rPr>
        <w:t>22</w:t>
      </w:r>
      <w:r>
        <w:rPr>
          <w:spacing w:val="-17"/>
          <w:sz w:val="22"/>
          <w:szCs w:val="22"/>
        </w:rPr>
        <w:t>日</w:t>
      </w:r>
    </w:p>
    <w:sectPr>
      <w:pgSz w:w="12240" w:h="20160" w:orient="portrait"/>
      <w:pgMar w:top="912" w:right="1460" w:bottom="0" w:left="1446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altName w:val="Times New T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SimHei">
    <w:altName w:val="SimHei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微软雅黑">
    <w:altName w:val="微软雅黑"/>
    <w:panose1 w:val="020b0503020000020204"/>
    <w:charset w:val="86"/>
    <w:family w:val="auto"/>
    <w:pitch w:val="default"/>
    <w:sig w:usb0="80000287" w:usb1="2ACF3C50" w:usb2="00000016" w:usb3="00000000" w:csb0="0004001F" w:csb1="FFFF0000"/>
  </w:font>
  <w:font w:name="Microsoft JhengHei">
    <w:altName w:val="Microsoft JhengHei"/>
    <w:panose1 w:val="020b0604030000040204"/>
    <w:charset w:val="88"/>
    <w:family w:val="auto"/>
    <w:pitch w:val="default"/>
    <w:sig w:usb0="000002A7" w:usb1="28CF4400" w:usb2="00000016" w:usb3="00000000" w:csb0="00100009" w:csb1="00000000"/>
  </w:font>
  <w:font w:name="Microsoft YaHe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BF14A26"/>
    <w:lvl w:ilvl="0" w:tplc="0409000F">
      <w:start w:val="1"/>
      <w:numFmt w:val="decimal"/>
      <w:lvlText w:val="%1."/>
      <w:lvlJc w:val="left"/>
      <w:pPr>
        <w:ind w:left="421" w:hanging="420"/>
      </w:p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1">
    <w:nsid w:val="00000001"/>
    <w:multiLevelType w:val="hybridMultilevel"/>
    <w:tmpl w:val="5BB18BEF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2"/>
    <w:multiLevelType w:val="hybridMultilevel"/>
    <w:tmpl w:val="99B13A72"/>
    <w:lvl w:ilvl="0" w:tplc="0409000F">
      <w:start w:val="1"/>
      <w:numFmt w:val="decimal"/>
      <w:lvlText w:val="%1."/>
      <w:lvlJc w:val="left"/>
      <w:pPr>
        <w:ind w:left="427" w:hanging="420"/>
      </w:pPr>
    </w:lvl>
    <w:lvl w:ilvl="1" w:tplc="04090019" w:tentative="1">
      <w:start w:val="1"/>
      <w:numFmt w:val="lowerLetter"/>
      <w:lvlText w:val="%2)"/>
      <w:lvlJc w:val="left"/>
      <w:pPr>
        <w:ind w:left="847" w:hanging="420"/>
      </w:pPr>
    </w:lvl>
    <w:lvl w:ilvl="2" w:tplc="0409001B" w:tentative="1">
      <w:start w:val="1"/>
      <w:numFmt w:val="lowerRoman"/>
      <w:lvlText w:val="%3."/>
      <w:lvlJc w:val="right"/>
      <w:pPr>
        <w:ind w:left="1267" w:hanging="420"/>
      </w:pPr>
    </w:lvl>
    <w:lvl w:ilvl="3" w:tplc="0409000F" w:tentative="1">
      <w:start w:val="1"/>
      <w:numFmt w:val="decimal"/>
      <w:lvlText w:val="%4."/>
      <w:lvlJc w:val="left"/>
      <w:pPr>
        <w:ind w:left="1687" w:hanging="420"/>
      </w:pPr>
    </w:lvl>
    <w:lvl w:ilvl="4" w:tplc="04090019" w:tentative="1">
      <w:start w:val="1"/>
      <w:numFmt w:val="lowerLetter"/>
      <w:lvlText w:val="%5)"/>
      <w:lvlJc w:val="left"/>
      <w:pPr>
        <w:ind w:left="2107" w:hanging="420"/>
      </w:pPr>
    </w:lvl>
    <w:lvl w:ilvl="5" w:tplc="0409001B" w:tentative="1">
      <w:start w:val="1"/>
      <w:numFmt w:val="lowerRoman"/>
      <w:lvlText w:val="%6."/>
      <w:lvlJc w:val="right"/>
      <w:pPr>
        <w:ind w:left="2527" w:hanging="420"/>
      </w:pPr>
    </w:lvl>
    <w:lvl w:ilvl="6" w:tplc="0409000F" w:tentative="1">
      <w:start w:val="1"/>
      <w:numFmt w:val="decimal"/>
      <w:lvlText w:val="%7."/>
      <w:lvlJc w:val="left"/>
      <w:pPr>
        <w:ind w:left="2947" w:hanging="420"/>
      </w:pPr>
    </w:lvl>
    <w:lvl w:ilvl="7" w:tplc="04090019" w:tentative="1">
      <w:start w:val="1"/>
      <w:numFmt w:val="lowerLetter"/>
      <w:lvlText w:val="%8)"/>
      <w:lvlJc w:val="left"/>
      <w:pPr>
        <w:ind w:left="3367" w:hanging="420"/>
      </w:pPr>
    </w:lvl>
    <w:lvl w:ilvl="8" w:tplc="0409001B" w:tentative="1">
      <w:start w:val="1"/>
      <w:numFmt w:val="lowerRoman"/>
      <w:lvlText w:val="%9."/>
      <w:lvlJc w:val="right"/>
      <w:pPr>
        <w:ind w:left="3787" w:hanging="420"/>
      </w:pPr>
    </w:lvl>
  </w:abstractNum>
  <w:abstractNum w:abstractNumId="3">
    <w:nsid w:val="00000003"/>
    <w:multiLevelType w:val="hybridMultilevel"/>
    <w:tmpl w:val="8C1B2A59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4"/>
    <w:multiLevelType w:val="hybridMultilevel"/>
    <w:tmpl w:val="9E4C43B1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5"/>
    <w:multiLevelType w:val="hybridMultilevel"/>
    <w:tmpl w:val="28862D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  <w:num w:numId="7">
    <w:abstractNumId w:val="3"/>
  </w:num>
  <w:num w:numId="8">
    <w:abstractNumId w:val="3"/>
  </w:num>
  <w:num w:numId="9">
    <w:abstractNumId w:val="4"/>
  </w:num>
  <w:num w:numId="10">
    <w:abstractNumId w:val="5"/>
  </w:num>
  <w:num w:numId="11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napToGrid w:val="false"/>
        <w:color w:val="000000"/>
        <w:kern w:val="0"/>
        <w:sz w:val="21"/>
        <w:szCs w:val="21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kinsoku w:val="false"/>
      <w:autoSpaceDE w:val="false"/>
      <w:autoSpaceDN w:val="false"/>
      <w:adjustRightInd w:val="false"/>
      <w:snapToGrid w:val="false"/>
      <w:spacing w:lineRule="auto" w:line="240"/>
      <w:jc w:val="left"/>
      <w:textAlignment w:val="baseline"/>
    </w:pPr>
    <w:rPr>
      <w:noProof/>
      <w:snapToGrid w:val="false"/>
      <w:color w:val="000000"/>
      <w:kern w:val="0"/>
    </w:rPr>
  </w:style>
  <w:style w:type="table" w:customStyle="1" w:styleId="style4097">
    <w:name w:val="Table Normal"/>
    <w:next w:val="style4097"/>
    <w:qFormat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pPr/>
    <w:rPr>
      <w:rFonts w:ascii="Microsoft YaHei" w:cs="Microsoft YaHei" w:eastAsia="Microsoft YaHei" w:hAnsi="Microsoft YaHei"/>
      <w:sz w:val="24"/>
      <w:szCs w:val="24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  <w:style w:type="character" w:styleId="style85">
    <w:name w:val="Hyperlink"/>
    <w:basedOn w:val="style65"/>
    <w:next w:val="style85"/>
    <w:rPr>
      <w:color w:val="0000ff"/>
      <w:u w:val="single"/>
    </w:rPr>
  </w:style>
  <w:style w:type="character" w:default="1" w:styleId="style65">
    <w:name w:val="Default Paragraph Font"/>
    <w:next w:val="style65"/>
    <w:uiPriority w:val="1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1101</Words>
  <Characters>1311</Characters>
  <Application>WPS Office</Application>
  <Paragraphs>42</Paragraphs>
  <CharactersWithSpaces>1321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2025-08-01T17:15:01Z</dcterms:created>
  <dc:creator>WPS Office</dc:creator>
  <lastModifiedBy>2312DRA50C</lastModifiedBy>
  <dcterms:modified xsi:type="dcterms:W3CDTF">2025-08-22T06:58:07Z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ICV">
    <vt:lpwstr>dbd5ba645faa4b59a19cc20b09349428_23</vt:lpwstr>
  </property>
</Properties>
</file>