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2675124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600"/>
        <w:jc w:val="center"/>
        <w:textAlignment w:val="auto"/>
        <w:outlineLvl w:val="9"/>
        <w:rPr>
          <w:rFonts w:ascii="宋体" w:cs="仿宋" w:eastAsia="宋体"/>
          <w:sz w:val="24"/>
          <w:szCs w:val="24"/>
        </w:rPr>
      </w:pPr>
      <w:bookmarkStart w:id="0" w:name="_GoBack"/>
      <w:bookmarkEnd w:id="0"/>
      <w:r>
        <w:rPr>
          <w:rFonts w:ascii="宋体" w:cs="宋体" w:eastAsia="宋体" w:hAnsi="宋体" w:hint="default"/>
          <w:b/>
          <w:bCs/>
          <w:sz w:val="44"/>
          <w:szCs w:val="44"/>
          <w:lang w:val="en-US" w:eastAsia="zh-CN"/>
        </w:rPr>
        <w:t>起诉状</w:t>
      </w:r>
    </w:p>
    <w:p w14:paraId="9D08BFFD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jc w:val="left"/>
        <w:textAlignment w:val="baseline"/>
        <w:rPr>
          <w:rFonts w:ascii="宋体" w:cs="宋体" w:eastAsia="宋体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/>
        </w:rPr>
        <w:t>原告</w:t>
      </w:r>
      <w:r>
        <w:rPr>
          <w:rFonts w:ascii="宋体" w:cs="宋体" w:eastAsia="宋体" w:hAnsi="仿宋_GB2312" w:hint="eastAsia"/>
          <w:sz w:val="24"/>
          <w:szCs w:val="24"/>
        </w:rPr>
        <w:t>：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何义军, 男, 汉族, </w:t>
      </w:r>
      <w:r>
        <w:rPr>
          <w:rFonts w:ascii="宋体" w:cs="宋体" w:eastAsia="宋体" w:hAnsi="Microsoft YaHei" w:hint="default"/>
          <w:b w:val="false"/>
          <w:bCs w:val="false"/>
          <w:i w:val="false"/>
          <w:iCs w:val="false"/>
          <w:noProof/>
          <w:snapToGrid w:val="false"/>
          <w:color w:val="000000"/>
          <w:spacing w:val="-13"/>
          <w:kern w:val="0"/>
          <w:sz w:val="24"/>
          <w:szCs w:val="24"/>
          <w:highlight w:val="none"/>
          <w:vertAlign w:val="baseline"/>
          <w:em w:val="none"/>
          <w:lang w:val="en-US" w:bidi="ar-SA" w:eastAsia="en-US"/>
        </w:rPr>
        <w:t>身份证号431126198402221233, 北京物资学院本科, 团员,</w:t>
      </w:r>
    </w:p>
    <w:p w14:paraId="105FFA9E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75"/>
        <w:ind w:left="420" w:leftChars="0"/>
        <w:jc w:val="left"/>
        <w:textAlignment w:val="baseline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住四川省成都市高新区天府大道北段18号附10号, 电话19250199051。</w:t>
      </w:r>
    </w:p>
    <w:p w14:paraId="AC953F2C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34"/>
        <w:jc w:val="left"/>
        <w:textAlignment w:val="baseline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Times New Roman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被告</w:t>
      </w: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: 成都市高新区桂溪街道办事处民政服务部, 电话:028-85219217</w:t>
      </w:r>
    </w:p>
    <w:p w14:paraId="7FEEBD25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454" w:leftChars="0"/>
        <w:jc w:val="left"/>
        <w:textAlignment w:val="baseline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住址:四川省成都市高新区天仁路176号</w:t>
      </w:r>
    </w:p>
    <w:p w14:paraId="7F73B98C">
      <w:pPr>
        <w:pStyle w:val="style0"/>
        <w:adjustRightInd/>
        <w:snapToGrid/>
        <w:spacing w:lineRule="auto" w:line="240"/>
        <w:jc w:val="both"/>
        <w:outlineLvl w:val="9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宋体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名词简写及解释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:</w:t>
      </w:r>
    </w:p>
    <w:p w14:paraId="F495FCD5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44" w:leftChars="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>所有银行卡账单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: 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申请人所有银行卡近一年流水(下载云闪付,查询所有银行卡的截图)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";</w:t>
      </w:r>
    </w:p>
    <w:p w14:paraId="57D31C11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420" w:leftChars="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成都民政部门确认要申请人必须提交的"申请救助需提交的资料清单"文件的一项要求。</w:t>
      </w:r>
    </w:p>
    <w:p w14:paraId="4422E183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 xml:space="preserve">初始申请救助日: 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原告第一次在政务网提交救助申请的日期"(早于7月2日第一次投诉)。</w:t>
      </w:r>
    </w:p>
    <w:p w14:paraId="31983B00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jc w:val="left"/>
        <w:textAlignment w:val="baseline"/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lang w:val="en-US" w:eastAsia="zh-CN"/>
        </w:rPr>
        <w:t>主要适用的法律、法规和规章及规章以下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 xml:space="preserve">: </w:t>
      </w:r>
    </w:p>
    <w:p w14:paraId="BFF0100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《中华人民共和国宪法》第四十一条第一、二、三款；</w:t>
      </w:r>
    </w:p>
    <w:p w14:paraId="675D54CB">
      <w:pPr>
        <w:pStyle w:val="style0"/>
        <w:kinsoku w:val="false"/>
        <w:autoSpaceDE w:val="false"/>
        <w:autoSpaceDN w:val="false"/>
        <w:adjustRightInd w:val="false"/>
        <w:snapToGrid w:val="false"/>
        <w:spacing w:before="103" w:lineRule="auto" w:line="180"/>
        <w:ind w:left="210" w:leftChars="0"/>
        <w:jc w:val="left"/>
        <w:textAlignment w:val="baseline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  <w:t>《中华人民共和国行政诉讼法》第一至第十一条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lang w:val="en-US" w:eastAsia="zh-CN"/>
        </w:rPr>
        <w:t>第十二条第一款的第十和第十二项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；</w:t>
      </w:r>
    </w:p>
    <w:p w14:paraId="94C2EA7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黑体" w:hint="default"/>
          <w:b/>
          <w:bCs/>
          <w:sz w:val="24"/>
          <w:szCs w:val="24"/>
          <w:u w:val="none"/>
          <w:lang w:val="en-US" w:eastAsia="zh-CN"/>
        </w:rPr>
        <w:t>起诉</w:t>
      </w:r>
      <w:r>
        <w:rPr>
          <w:rFonts w:ascii="宋体" w:cs="宋体" w:eastAsia="宋体" w:hAnsi="黑体" w:hint="eastAsia"/>
          <w:b/>
          <w:bCs/>
          <w:sz w:val="24"/>
          <w:szCs w:val="24"/>
          <w:u w:val="none"/>
          <w:lang w:val="en-US" w:eastAsia="zh-CN"/>
        </w:rPr>
        <w:t>请求</w:t>
      </w:r>
      <w:r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F6A0546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公开审判, 检察院监督, 本案报送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检察院对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被告的不当行政行为提起公益行政诉讼;</w:t>
      </w:r>
    </w:p>
    <w:p w14:paraId="55F33DB7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"当救不救"证实被告不作为, 审查被告所依据的法律、法规、规章及其他规范性文件;</w:t>
      </w:r>
    </w:p>
    <w:p w14:paraId="F982E7F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被告由"初始申请救助日"开始，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补发应发救助</w:t>
      </w:r>
      <w:r>
        <w:rPr>
          <w:rFonts w:ascii="宋体" w:cs="宋体" w:eastAsia="宋体" w:hAnsi="黑体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 xml:space="preserve">采取补救措施; </w:t>
      </w:r>
    </w:p>
    <w:p w14:paraId="7474E589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8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被告支付原告赔偿金额</w:t>
      </w:r>
      <w:r>
        <w:rPr>
          <w:rFonts w:ascii="宋体" w:cs="宋体" w:eastAsia="宋体" w:hAnsi="Calibri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11144700</w:t>
      </w: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元（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立案要填"标的额", 先用"7月2日"作起始,后更正)</w:t>
      </w:r>
      <w:r>
        <w:rPr>
          <w:rFonts w:ascii="宋体" w:cs="宋体" w:eastAsia="宋体" w:hAnsi="Times New Roman" w:hint="default"/>
          <w:sz w:val="24"/>
          <w:szCs w:val="24"/>
          <w:u w:val="none"/>
          <w:lang w:val="en-US" w:eastAsia="zh-CN"/>
        </w:rPr>
        <w:t>；</w:t>
      </w:r>
    </w:p>
    <w:p w14:paraId="913503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eastAsia"/>
          <w:b/>
          <w:bCs/>
          <w:sz w:val="24"/>
          <w:szCs w:val="24"/>
          <w:u w:val="none"/>
          <w:lang w:val="en-US" w:eastAsia="zh-CN"/>
        </w:rPr>
        <w:t>事实和理由</w:t>
      </w:r>
      <w:r>
        <w:rPr>
          <w:rFonts w:ascii="宋体" w:cs="宋体" w:eastAsia="宋体" w:hAnsi="黑体" w:hint="eastAsia"/>
          <w:b w:val="false"/>
          <w:bCs w:val="false"/>
          <w:sz w:val="24"/>
          <w:szCs w:val="24"/>
          <w:u w:val="none"/>
          <w:lang w:val="en-US" w:eastAsia="zh-CN"/>
        </w:rPr>
        <w:t>：</w:t>
      </w:r>
    </w:p>
    <w:p w14:paraId="AE3FC881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9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"</w:t>
      </w: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调查申请人的收入情况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"是</w:t>
      </w: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民政部门的本职工作，不应责权倒置反要求申请人自证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。</w:t>
      </w:r>
    </w:p>
    <w:p w14:paraId="1BB58FB6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民政部门完全可以申请其他有关政府部门协助调查。因为有申请人的"调查授权书"。</w:t>
      </w:r>
    </w:p>
    <w:p w14:paraId="D195CEC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29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要求"</w:t>
      </w:r>
      <w:r>
        <w:rPr>
          <w:rFonts w:ascii="宋体" w:cs="宋体" w:eastAsia="宋体" w:hAnsi="仿宋_GB2312" w:hint="default"/>
          <w:b/>
          <w:bCs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所有银行卡账单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"确实"显式不合理"。</w:t>
      </w:r>
    </w:p>
    <w:p w14:paraId="040D1803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只有少数大城市，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才有"所有申请条件"的所有前置要求</w:t>
      </w: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才能提交所有申请条件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>。</w:t>
      </w:r>
    </w:p>
    <w:p w14:paraId="F68D3F3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有一大类的救助申请人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不在大城市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single" w:color="auto"/>
          <w:vertAlign w:val="baseline"/>
          <w:em w:val="none"/>
          <w:lang w:val="en-US" w:bidi="ar-SA" w:eastAsia="zh-CN"/>
        </w:rPr>
        <w:t>；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必须先"得到救助"</w:t>
      </w: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，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才能在大城市恢复生活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；</w:t>
      </w:r>
    </w:p>
    <w:p w14:paraId="6AA978A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因此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"显式不合理"的行政要求, 将造成"循环论证"</w:t>
      </w: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sz w:val="24"/>
          <w:szCs w:val="24"/>
          <w:u w:val="none"/>
          <w:lang w:val="en-US" w:eastAsia="zh-CN"/>
        </w:rPr>
        <w:t>侵占"这一类申请人"的有关权利。</w:t>
      </w:r>
    </w:p>
    <w:p w14:paraId="0141D274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宋体" w:hint="default"/>
          <w:b/>
          <w:bCs/>
          <w:sz w:val="24"/>
          <w:szCs w:val="24"/>
          <w:u w:val="single"/>
          <w:lang w:val="en-US" w:eastAsia="zh-CN"/>
        </w:rPr>
        <w:t>原告事实上符合救助条件</w:t>
      </w:r>
      <w:r>
        <w:rPr>
          <w:rFonts w:ascii="宋体" w:cs="宋体" w:eastAsia="宋体" w:hAnsi="仿宋_GB2312" w:hint="default"/>
          <w:b/>
          <w:bCs/>
          <w:sz w:val="24"/>
          <w:szCs w:val="24"/>
          <w:u w:val="single"/>
          <w:lang w:val="en-US" w:eastAsia="zh-CN"/>
        </w:rPr>
        <w:t>，但是因为"显式不合理"的行政误作为而不能及时得到救助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。</w:t>
      </w:r>
    </w:p>
    <w:p w14:paraId="DDC90E0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 w:hAnsi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原告现在湖南乡村父母家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靠父母救济存活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急需救助恢复正常生活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</w:p>
    <w:p w14:paraId="330C5B25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firstLine="0"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  <w:u w:val="none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原告查云闪付有26张(17家银行)卡, 大多数不是换过手机号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，就是取款密码不记得。</w:t>
      </w:r>
    </w:p>
    <w:p w14:paraId="58D275F9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③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原告多次声明过要求显式不合理, 被告仍发有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所有银行卡账单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"的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"申请资料清单"。</w:t>
      </w:r>
    </w:p>
    <w:p w14:paraId="BDA59EAD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u w:val="none" w:color="auto"/>
          <w:vertAlign w:val="baseline"/>
          <w:em w:val="none"/>
          <w:lang w:val="en-US" w:bidi="ar-SA" w:eastAsia="zh-CN"/>
        </w:rPr>
        <w:t>只有少数大城市有这17家银行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。不在这种大城市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就不能提交26张卡的账单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</w:t>
      </w:r>
    </w:p>
    <w:p w14:paraId="BB447EA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去到这种大城市生活，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必须要先得到救助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；才能提交救助的"所有申请条件"。</w:t>
      </w:r>
    </w:p>
    <w:p w14:paraId="93434773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4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要证实被告行政行为"显式不合理"，还要加上以下两点银行的常识(原告都验过):</w:t>
      </w:r>
    </w:p>
    <w:p w14:paraId="AF43C1CC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84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重置银行卡取款密码或更换主手机号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大多数银行都要去线下营业网点;</w:t>
      </w:r>
    </w:p>
    <w:p w14:paraId="659EFF20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840" w:firstLine="0" w:firstLineChars="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查询银行卡账单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必须有"取款密码和手机验证码"才能登陆银行卡账户。</w:t>
      </w:r>
    </w:p>
    <w:p w14:paraId="C3FBC312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4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宋体" w:hint="default"/>
          <w:b/>
          <w:bCs/>
          <w:sz w:val="24"/>
          <w:szCs w:val="24"/>
          <w:u w:val="none"/>
          <w:lang w:val="en-US" w:eastAsia="zh-CN"/>
        </w:rPr>
        <w:t>原告向"四川省民政厅"发起过一次信访(7月2日)一次投诉(7月11日)</w:t>
      </w:r>
      <w:r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  <w:t>，至今未得救助</w:t>
      </w:r>
      <w:r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  <w:t>。</w:t>
      </w:r>
    </w:p>
    <w:p w14:paraId="61B12A81">
      <w:pPr>
        <w:pStyle w:val="style179"/>
        <w:numPr>
          <w:ilvl w:val="0"/>
          <w:numId w:val="34"/>
        </w:numPr>
        <w:adjustRightInd/>
        <w:snapToGrid/>
        <w:spacing w:lineRule="auto" w:line="240"/>
        <w:ind w:firstLineChars="0"/>
        <w:jc w:val="both"/>
        <w:outlineLvl w:val="9"/>
        <w:rPr>
          <w:rFonts w:ascii="宋体" w:cs="宋体" w:eastAsia="宋体" w:hAnsi="Times New Roman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Times New Roman" w:hint="default"/>
          <w:b/>
          <w:bCs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损失赔偿模型。 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赔偿金额计算公式为: ["总天数" × "日薪" × 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"放大系数"</w:t>
      </w:r>
      <w:r>
        <w:rPr>
          <w:rFonts w:ascii="宋体" w:cs="宋体" w:eastAsia="宋体" w:hAnsi="Calibri" w:hint="default"/>
          <w:b/>
          <w:bCs/>
          <w:i w:val="false"/>
          <w:iCs w:val="false"/>
          <w:noProof/>
          <w:snapToGrid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]。</w:t>
      </w:r>
    </w:p>
    <w:p w14:paraId="7FB1B604">
      <w:pPr>
        <w:pStyle w:val="style0"/>
        <w:numPr>
          <w:ilvl w:val="0"/>
          <w:numId w:val="0"/>
        </w:numPr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①"放大系数": 10.0。因为"要求显式不合理"是侵占"所有应当救助市民"的有关权利。</w:t>
      </w:r>
    </w:p>
    <w:p w14:paraId="8E8CCF45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②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"总天数": 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初始申请救助日"</w:t>
      </w:r>
      <w:r>
        <w:rPr>
          <w:rFonts w:ascii="宋体" w:cs="宋体" w:eastAsia="宋体" w:hAnsi="宋体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为起始</w:t>
      </w:r>
      <w:r>
        <w:rPr>
          <w:rFonts w:ascii="宋体" w:cs="宋体" w:eastAsia="宋体" w:hAnsi="仿宋_GB2312" w:hint="default"/>
          <w:b w:val="false"/>
          <w:bCs w:val="false"/>
          <w:i w:val="false"/>
          <w:iCs w:val="false"/>
          <w:noProof/>
          <w:snapToGrid w:val="false"/>
          <w:color w:val="000000"/>
          <w:kern w:val="0"/>
          <w:sz w:val="24"/>
          <w:szCs w:val="24"/>
          <w:highlight w:val="none"/>
          <w:vertAlign w:val="baseline"/>
          <w:em w:val="none"/>
          <w:lang w:val="en-US" w:bidi="ar-SA" w:eastAsia="zh-CN"/>
        </w:rPr>
        <w:t>，"本案判决日(估计11月05日)"为结束而计算。</w:t>
      </w:r>
    </w:p>
    <w:p w14:paraId="54C8DCD7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u w:val="single"/>
          <w:vertAlign w:val="baseline"/>
          <w:em w:val="none"/>
          <w:lang w:val="en-US" w:bidi="ar-SA" w:eastAsia="zh-CN"/>
        </w:rPr>
        <w:t>为立案计算标的额，先用7月2日作为起始日期, 计算得总天数 122天。判后更正</w:t>
      </w: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。</w:t>
      </w:r>
    </w:p>
    <w:p w14:paraId="B4EFA18E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/>
          <w:b w:val="false"/>
          <w:bCs w:val="false"/>
          <w:sz w:val="24"/>
          <w:szCs w:val="24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③"日薪"(原告2025年的)应当为:9135元/天; 根据历史薪资计算年均增长率估计的:</w:t>
      </w:r>
    </w:p>
    <w:p w14:paraId="35522241">
      <w:pPr>
        <w:pStyle w:val="style0"/>
        <w:adjustRightInd/>
        <w:snapToGrid/>
        <w:spacing w:lineRule="auto" w:line="240"/>
        <w:ind w:left="630" w:leftChars="0"/>
        <w:jc w:val="both"/>
        <w:outlineLvl w:val="9"/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2008年月薪7千,2018年月10万,年增长15.49%; 估计2025年薪383.65万.</w:t>
      </w:r>
    </w:p>
    <w:p w14:paraId="AE26F670">
      <w:pPr>
        <w:pStyle w:val="style0"/>
        <w:adjustRightInd/>
        <w:snapToGrid/>
        <w:spacing w:lineRule="auto" w:line="240"/>
        <w:ind w:left="420" w:leftChars="0"/>
        <w:jc w:val="both"/>
        <w:outlineLvl w:val="9"/>
        <w:rPr>
          <w:rFonts w:ascii="宋体" w:cs="宋体" w:eastAsia="宋体" w:hAnsi="仿宋_GB2312" w:hint="default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Calibri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ar-SA" w:eastAsia="zh-CN"/>
        </w:rPr>
        <w:t>④被告应赔偿金额 11144700.00元[ 122 ×9135 ×10 ]</w:t>
      </w:r>
    </w:p>
    <w:p w14:paraId="6C680078"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b/>
          <w:bCs/>
          <w:sz w:val="24"/>
          <w:szCs w:val="24"/>
          <w:u w:val="none"/>
          <w:lang w:val="en-US" w:eastAsia="zh-CN"/>
        </w:rPr>
        <w:t>证据:</w:t>
      </w:r>
    </w:p>
    <w:p w14:paraId="00534A0E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与"成都民政部门经办工作人员"的微信聊天记录截屏。</w:t>
      </w:r>
    </w:p>
    <w:p w14:paraId="2E5153F7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"成都民政部门经办工作人员"要求申请人必须提供的文件清单。</w:t>
      </w:r>
    </w:p>
    <w:p w14:paraId="9A33B9CD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u w:val="none"/>
          <w:lang w:val="en-US" w:eastAsia="zh-CN"/>
        </w:rPr>
        <w:t>原告向"四川省民政厅"发起过一次信访一次投诉。</w:t>
      </w:r>
    </w:p>
    <w:p w14:paraId="636CBE6B"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36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firstLineChars="0"/>
        <w:jc w:val="both"/>
        <w:textAlignment w:val="auto"/>
        <w:outlineLvl w:val="9"/>
        <w:rPr>
          <w:rFonts w:ascii="宋体" w:cs="宋体" w:eastAsia="宋体" w:hAnsi="仿宋_GB2312" w:hint="eastAsia"/>
          <w:b w:val="false"/>
          <w:bCs w:val="false"/>
          <w:sz w:val="24"/>
          <w:szCs w:val="24"/>
          <w:lang w:val="en-US" w:eastAsia="zh-CN"/>
        </w:rPr>
      </w:pPr>
      <w:r>
        <w:rPr>
          <w:rFonts w:ascii="宋体" w:cs="宋体" w:eastAsia="宋体" w:hAnsi="仿宋_GB2312" w:hint="default"/>
          <w:b w:val="false"/>
          <w:bCs w:val="false"/>
          <w:sz w:val="24"/>
          <w:szCs w:val="24"/>
          <w:lang w:val="en-US" w:eastAsia="zh-CN"/>
        </w:rPr>
        <w:t>原告在2018年的收入证明(劳动合同及交行代发工资证明)。</w:t>
      </w:r>
    </w:p>
    <w:p w14:paraId="092E8B5B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jc w:val="both"/>
        <w:textAlignment w:val="auto"/>
        <w:outlineLvl w:val="9"/>
        <w:rPr>
          <w:rFonts w:ascii="宋体" w:cs="宋体" w:eastAsia="宋体" w:hAnsi="仿宋_GB2312" w:hint="eastAsia"/>
          <w:b/>
          <w:bCs/>
          <w:sz w:val="24"/>
          <w:szCs w:val="24"/>
          <w:lang w:val="en-US" w:eastAsia="zh-CN"/>
        </w:rPr>
      </w:pPr>
      <w:r>
        <w:rPr>
          <w:rFonts w:ascii="宋体" w:cs="宋体" w:eastAsia="宋体" w:hAnsi="仿宋_GB2312" w:hint="eastAsia"/>
          <w:b/>
          <w:bCs/>
          <w:sz w:val="24"/>
          <w:szCs w:val="24"/>
          <w:lang w:val="en-US" w:eastAsia="zh-CN"/>
        </w:rPr>
        <w:t>此致</w:t>
      </w:r>
      <w:r>
        <w:rPr>
          <w:rFonts w:ascii="宋体" w:cs="宋体" w:eastAsia="宋体"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5827001</wp:posOffset>
            </wp:positionH>
            <wp:positionV relativeFrom="page">
              <wp:posOffset>10647431</wp:posOffset>
            </wp:positionV>
            <wp:extent cx="575640" cy="457272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640" cy="45727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583AE8A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420" w:leftChars="0"/>
        <w:jc w:val="both"/>
        <w:textAlignment w:val="auto"/>
        <w:outlineLvl w:val="9"/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</w:pPr>
      <w:r>
        <w:rPr>
          <w:rFonts w:ascii="宋体" w:cs="宋体" w:eastAsia="宋体" w:hAnsi="仿宋_GB2312" w:hint="default"/>
          <w:sz w:val="24"/>
          <w:szCs w:val="24"/>
          <w:u w:val="single"/>
          <w:lang w:val="en-US" w:eastAsia="zh-CN"/>
        </w:rPr>
        <w:t>四川省成都市高新区人民法院</w:t>
      </w:r>
    </w:p>
    <w:p w14:paraId="76E6D657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5250" w:leftChars="0"/>
        <w:jc w:val="both"/>
        <w:textAlignment w:val="auto"/>
        <w:outlineLvl w:val="9"/>
        <w:rPr>
          <w:rFonts w:ascii="宋体" w:cs="宋体" w:eastAsia="宋体" w:hAnsi="宋体" w:hint="eastAsia"/>
          <w:sz w:val="24"/>
          <w:szCs w:val="24"/>
          <w:u w:val="single"/>
          <w:lang w:val="en-US" w:eastAsia="zh-CN"/>
        </w:rPr>
      </w:pPr>
      <w:r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  <w:t>申请人（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签名或盖章</w:t>
      </w:r>
      <w:r>
        <w:rPr>
          <w:rFonts w:ascii="宋体" w:cs="宋体" w:eastAsia="宋体" w:hAnsi="仿宋_GB2312" w:hint="eastAsia"/>
          <w:sz w:val="24"/>
          <w:szCs w:val="24"/>
          <w:u w:val="none"/>
          <w:lang w:val="en-US" w:eastAsia="zh-CN"/>
        </w:rPr>
        <w:t>）：</w:t>
      </w:r>
      <w:r>
        <w:rPr>
          <w:rFonts w:ascii="宋体" w:cs="宋体" w:eastAsia="宋体" w:hAnsi="宋体" w:hint="eastAsia"/>
          <w:sz w:val="24"/>
          <w:szCs w:val="24"/>
          <w:u w:val="single"/>
          <w:lang w:val="en-US" w:eastAsia="zh-CN"/>
        </w:rPr>
        <w:t xml:space="preserve">        </w:t>
      </w:r>
    </w:p>
    <w:p w14:paraId="4CEB85A1"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auto" w:line="240"/>
        <w:ind w:left="1050" w:leftChars="0" w:firstLine="640" w:firstLineChars="200"/>
        <w:jc w:val="both"/>
        <w:textAlignment w:val="auto"/>
        <w:outlineLvl w:val="9"/>
        <w:rPr>
          <w:rFonts w:ascii="宋体" w:cs="宋体" w:eastAsia="宋体" w:hAnsi="宋体" w:hint="default"/>
          <w:sz w:val="24"/>
          <w:szCs w:val="24"/>
          <w:lang w:val="en-US" w:eastAsia="zh-CN"/>
        </w:rPr>
      </w:pP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 xml:space="preserve">                                 </w:t>
      </w:r>
      <w:r>
        <w:rPr>
          <w:rFonts w:ascii="宋体" w:cs="宋体" w:eastAsia="宋体" w:hAnsi="宋体" w:hint="default"/>
          <w:sz w:val="24"/>
          <w:szCs w:val="24"/>
          <w:u w:val="none"/>
          <w:lang w:val="en-US" w:eastAsia="zh-CN"/>
        </w:rPr>
        <w:t xml:space="preserve">        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2025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年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09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>月</w:t>
      </w:r>
      <w:r>
        <w:rPr>
          <w:rFonts w:ascii="宋体" w:cs="宋体" w:eastAsia="宋体" w:hAnsi="宋体" w:hint="default"/>
          <w:sz w:val="24"/>
          <w:szCs w:val="24"/>
          <w:u w:val="single"/>
          <w:lang w:val="en-US" w:eastAsia="zh-CN"/>
        </w:rPr>
        <w:t>26</w:t>
      </w:r>
      <w:r>
        <w:rPr>
          <w:rFonts w:ascii="宋体" w:cs="宋体" w:eastAsia="宋体" w:hAnsi="宋体" w:hint="eastAsia"/>
          <w:sz w:val="24"/>
          <w:szCs w:val="24"/>
          <w:u w:val="none"/>
          <w:lang w:val="en-US" w:eastAsia="zh-CN"/>
        </w:rPr>
        <w:t xml:space="preserve">日 </w:t>
      </w:r>
    </w:p>
    <w:sectPr>
      <w:footerReference w:type="default" r:id="rId3"/>
      <w:type w:val="continuous"/>
      <w:pgSz w:w="12240" w:h="20160" w:orient="portrait"/>
      <w:pgMar w:top="1814" w:right="1474" w:bottom="1757" w:left="1474" w:header="850" w:footer="992" w:gutter="0"/>
      <w:pgNumType w:fmt="decimal"/>
      <w:cols w:space="720" w:num="1"/>
      <w:rtlGutter w:val="false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小标宋简体"/>
    <w:panose1 w:val="02010601030000010101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panose1 w:val="02010609030000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2010609030000010101"/>
    <w:charset w:val="86"/>
    <w:family w:val="auto"/>
    <w:pitch w:val="default"/>
    <w:sig w:usb0="00000001" w:usb1="080E0000" w:usb2="00000000" w:usb3="00000000" w:csb0="00040000" w:csb1="00000000"/>
  </w:font>
  <w:font w:name="方正小标宋_GBK">
    <w:altName w:val="方正小标宋_GBK"/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方正楷体_GBK"/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方正黑体_GBK"/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长城小标宋体">
    <w:altName w:val="方正小标宋_GBK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000010101"/>
    <w:charset w:val="00"/>
    <w:family w:val="auto"/>
    <w:pitch w:val="default"/>
    <w:sig w:usb0="00000000" w:usb1="00000000" w:usb2="00000000" w:usb3="00000000" w:csb0="0004009F" w:csb1="DFD70000"/>
  </w:font>
  <w:font w:name="楷体">
    <w:altName w:val="楷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Microsoft YaHe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 w14:paraId="26C4B468">
    <w:pPr>
      <w:pStyle w:val="style32"/>
      <w:rPr/>
    </w:pPr>
    <w:r>
      <w:rPr>
        <w:sz w:val="18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097" name="文本框 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28800" cy="18288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 w14:paraId="653CFF51">
                          <w:pPr>
                            <w:pStyle w:val="style32"/>
                            <w:rPr/>
                          </w:pPr>
                          <w:r>
                            <w:t xml:space="preserve">— </w:t>
                          </w:r>
                          <w:r>
                            <w:rPr/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lIns="0" rIns="0" tIns="0" bIns="0" vert="horz" anchor="t" wrap="none" upright="false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4097" filled="f" stroked="f" style="position:absolute;margin-left:0.0pt;margin-top:0.0pt;width:144.0pt;height:144.0pt;z-index:2;mso-position-horizontal:center;mso-position-horizontal-relative:margin;mso-position-vertical-relative:text;mso-width-relative:page;mso-height-relative:page;mso-wrap-distance-left:0.0pt;mso-wrap-distance-right:0.0pt;visibility:visible;mso-wrap-style:none;">
              <v:stroke on="f"/>
              <v:fill/>
              <v:textbox inset="0.0pt,0.0pt,0.0pt,0.0pt" style="mso-fit-shape-to-text:true;">
                <w:txbxContent>
                  <w:p w14:paraId="653CFF51">
                    <w:pPr>
                      <w:pStyle w:val="style32"/>
                      <w:rPr/>
                    </w:pPr>
                    <w:r>
                      <w:t xml:space="preserve">— </w:t>
                    </w:r>
                    <w:r>
                      <w:rPr/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rPr/>
                      <w:fldChar w:fldCharType="separate"/>
                    </w:r>
                    <w:r>
                      <w:t>1</w:t>
                    </w:r>
                    <w:r>
                      <w:rPr/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B9E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E4828551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22DD6A06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3"/>
    <w:multiLevelType w:val="hybridMultilevel"/>
    <w:tmpl w:val="82C1D068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0000004"/>
    <w:multiLevelType w:val="hybridMultilevel"/>
    <w:tmpl w:val="A3CA0DB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CF22DD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1382A0F7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0000007"/>
    <w:multiLevelType w:val="hybridMultilevel"/>
    <w:tmpl w:val="351013FE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8"/>
    <w:multiLevelType w:val="hybridMultilevel"/>
    <w:tmpl w:val="443BAFD9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09"/>
    <w:multiLevelType w:val="hybridMultilevel"/>
    <w:tmpl w:val="72CE2363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000000A"/>
    <w:multiLevelType w:val="hybridMultilevel"/>
    <w:tmpl w:val="604DF695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000000B"/>
    <w:multiLevelType w:val="hybridMultilevel"/>
    <w:tmpl w:val="7941C837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000000C"/>
    <w:multiLevelType w:val="hybridMultilevel"/>
    <w:tmpl w:val="1207A5C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000000D"/>
    <w:multiLevelType w:val="hybridMultilevel"/>
    <w:tmpl w:val="91C0F3B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0E"/>
    <w:multiLevelType w:val="hybridMultilevel"/>
    <w:tmpl w:val="8BA55EE6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0F"/>
    <w:multiLevelType w:val="hybridMultilevel"/>
    <w:tmpl w:val="8438030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00000010"/>
    <w:multiLevelType w:val="hybridMultilevel"/>
    <w:tmpl w:val="F61B40A7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00000011"/>
    <w:multiLevelType w:val="hybridMultilevel"/>
    <w:tmpl w:val="14FCBA79"/>
    <w:lvl w:ilvl="0" w:tplc="0409000F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00000012"/>
    <w:multiLevelType w:val="hybridMultilevel"/>
    <w:tmpl w:val="962E6B3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00000013"/>
    <w:multiLevelType w:val="hybridMultilevel"/>
    <w:tmpl w:val="696CE6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00000014"/>
    <w:multiLevelType w:val="hybridMultilevel"/>
    <w:tmpl w:val="2A09579F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00000015"/>
    <w:multiLevelType w:val="hybridMultilevel"/>
    <w:tmpl w:val="2D65126B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6"/>
    <w:multiLevelType w:val="hybridMultilevel"/>
    <w:tmpl w:val="818047DD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00000017"/>
    <w:multiLevelType w:val="hybridMultilevel"/>
    <w:tmpl w:val="CB56EAA9"/>
    <w:lvl w:ilvl="0" w:tplc="0409000F">
      <w:start w:val="3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18"/>
    <w:multiLevelType w:val="hybridMultilevel"/>
    <w:tmpl w:val="9A9764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00000019"/>
    <w:multiLevelType w:val="hybridMultilevel"/>
    <w:tmpl w:val="89F12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EEBAF9CE"/>
    <w:lvl w:ilvl="0" w:tplc="0409000F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B"/>
    <w:multiLevelType w:val="hybridMultilevel"/>
    <w:tmpl w:val="096DF225"/>
    <w:lvl w:ilvl="0" w:tplc="0409000F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0000001C"/>
    <w:multiLevelType w:val="hybridMultilevel"/>
    <w:tmpl w:val="E46D32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0000001D"/>
    <w:multiLevelType w:val="hybridMultilevel"/>
    <w:tmpl w:val="547BF723"/>
    <w:lvl w:ilvl="0" w:tplc="0409000F">
      <w:start w:val="1"/>
      <w:numFmt w:val="upperLetter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4"/>
  </w:num>
  <w:num w:numId="8">
    <w:abstractNumId w:val="5"/>
  </w:num>
  <w:num w:numId="9">
    <w:abstractNumId w:val="6"/>
  </w:num>
  <w:num w:numId="10">
    <w:abstractNumId w:val="6"/>
  </w:num>
  <w:num w:numId="11">
    <w:abstractNumId w:val="7"/>
  </w:num>
  <w:num w:numId="12">
    <w:abstractNumId w:val="7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  <w:num w:numId="18">
    <w:abstractNumId w:val="12"/>
  </w:num>
  <w:num w:numId="19">
    <w:abstractNumId w:val="13"/>
  </w:num>
  <w:num w:numId="20">
    <w:abstractNumId w:val="14"/>
  </w:num>
  <w:num w:numId="21">
    <w:abstractNumId w:val="15"/>
  </w:num>
  <w:num w:numId="22">
    <w:abstractNumId w:val="16"/>
  </w:num>
  <w:num w:numId="23">
    <w:abstractNumId w:val="16"/>
  </w:num>
  <w:num w:numId="24">
    <w:abstractNumId w:val="17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0"/>
  </w:num>
  <w:num w:numId="30">
    <w:abstractNumId w:val="21"/>
  </w:num>
  <w:num w:numId="31">
    <w:abstractNumId w:val="21"/>
  </w:num>
  <w:num w:numId="32">
    <w:abstractNumId w:val="22"/>
  </w:num>
  <w:num w:numId="33">
    <w:abstractNumId w:val="23"/>
  </w:num>
  <w:num w:numId="34">
    <w:abstractNumId w:val="23"/>
  </w:num>
  <w:num w:numId="35">
    <w:abstractNumId w:val="24"/>
  </w:num>
  <w:num w:numId="36">
    <w:abstractNumId w:val="24"/>
  </w:num>
  <w:num w:numId="37">
    <w:abstractNumId w:val="25"/>
  </w:num>
  <w:num w:numId="38">
    <w:abstractNumId w:val="25"/>
  </w:num>
  <w:num w:numId="39">
    <w:abstractNumId w:val="26"/>
  </w:num>
  <w:num w:numId="40">
    <w:abstractNumId w:val="26"/>
  </w:num>
  <w:num w:numId="41">
    <w:abstractNumId w:val="27"/>
  </w:num>
  <w:num w:numId="42">
    <w:abstractNumId w:val="28"/>
  </w:num>
  <w:num w:numId="43">
    <w:abstractNumId w:val="29"/>
  </w:num>
  <w:num w:numId="44">
    <w:abstractNumId w:val="2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0"/>
    <w:pPr>
      <w:widowControl w:val="false"/>
      <w:jc w:val="both"/>
    </w:pPr>
    <w:rPr>
      <w:rFonts w:ascii="Calibri" w:cs="Times New Roman" w:eastAsia="宋体" w:hAnsi="Calibri"/>
      <w:kern w:val="2"/>
      <w:sz w:val="21"/>
      <w:szCs w:val="24"/>
      <w:lang w:val="en-US" w:bidi="ar-SA" w:eastAsia="zh-CN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179">
    <w:name w:val="List Paragraph"/>
    <w:basedOn w:val="style0"/>
    <w:next w:val="style179"/>
    <w:qFormat/>
    <w:pPr>
      <w:kinsoku w:val="false"/>
      <w:autoSpaceDE w:val="false"/>
      <w:autoSpaceDN w:val="false"/>
      <w:adjustRightInd w:val="false"/>
      <w:spacing w:after="0" w:lineRule="auto" w:line="240"/>
      <w:ind w:firstLine="420" w:firstLineChars="200"/>
      <w:jc w:val="left"/>
    </w:pPr>
    <w:rPr>
      <w:rFonts w:ascii="Times New Roman" w:cs="Times New Roman" w:eastAsia="宋体" w:hAnsi="Times New Roman"/>
      <w:noProof/>
      <w:snapToGrid w:val="false"/>
      <w:color w:val="000000"/>
      <w:kern w:val="0"/>
      <w:sz w:val="21"/>
    </w:rPr>
  </w:style>
  <w:style w:type="character" w:styleId="style85">
    <w:name w:val="Hyperlink"/>
    <w:basedOn w:val="style65"/>
    <w:next w:val="style85"/>
    <w:rPr>
      <w:rFonts w:ascii="Times New Roman" w:cs="Times New Roman" w:eastAsia="宋体" w:hAnsi="Times New Roman"/>
      <w:color w:val="0000ff"/>
      <w:sz w:val="21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1405</Words>
  <Pages>30</Pages>
  <Characters>1536</Characters>
  <Application>WPS Office</Application>
  <DocSecurity>0</DocSecurity>
  <Paragraphs>54</Paragraphs>
  <ScaleCrop>false</ScaleCrop>
  <LinksUpToDate>false</LinksUpToDate>
  <CharactersWithSpaces>1624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2014-11-07T20:08:00Z</dcterms:created>
  <dc:creator>Administrator</dc:creator>
  <lastModifiedBy>2312DRA50C</lastModifiedBy>
  <lastPrinted>2025-06-01T09:30:57Z</lastPrinted>
  <dcterms:modified xsi:type="dcterms:W3CDTF">2025-09-26T07:06:41Z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baaf80ccc73f470aaca048c8fb8589e9_23</vt:lpwstr>
  </property>
</Properties>
</file>