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32675124"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600"/>
        <w:jc w:val="center"/>
        <w:textAlignment w:val="auto"/>
        <w:outlineLvl w:val="9"/>
        <w:rPr>
          <w:rFonts w:ascii="宋体" w:cs="仿宋" w:eastAsia="宋体"/>
          <w:sz w:val="24"/>
          <w:szCs w:val="24"/>
        </w:rPr>
      </w:pPr>
      <w:bookmarkStart w:id="0" w:name="_GoBack"/>
      <w:bookmarkEnd w:id="0"/>
      <w:r>
        <w:rPr>
          <w:rFonts w:ascii="宋体" w:cs="宋体" w:eastAsia="宋体" w:hAnsi="宋体" w:hint="default"/>
          <w:b/>
          <w:bCs/>
          <w:sz w:val="44"/>
          <w:szCs w:val="44"/>
          <w:lang w:val="en-US" w:eastAsia="zh-CN"/>
        </w:rPr>
        <w:t>起诉状</w:t>
      </w:r>
    </w:p>
    <w:p w14:paraId="9D08BFFD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75"/>
        <w:jc w:val="left"/>
        <w:textAlignment w:val="baseline"/>
        <w:rPr>
          <w:rFonts w:ascii="宋体" w:cs="宋体" w:eastAsia="宋体" w:hAnsi="Microsoft YaHei" w:hint="default"/>
          <w:b w:val="false"/>
          <w:bCs w:val="false"/>
          <w:i w:val="false"/>
          <w:iCs w:val="false"/>
          <w:noProof/>
          <w:snapToGrid w:val="false"/>
          <w:color w:val="000000"/>
          <w:spacing w:val="-13"/>
          <w:kern w:val="0"/>
          <w:sz w:val="24"/>
          <w:szCs w:val="24"/>
          <w:highlight w:val="none"/>
          <w:vertAlign w:val="baseline"/>
          <w:em w:val="none"/>
          <w:lang w:val="en-US" w:bidi="ar-SA" w:eastAsia="en-US"/>
        </w:rPr>
      </w:pPr>
      <w:r>
        <w:rPr>
          <w:rFonts w:ascii="宋体" w:cs="宋体" w:eastAsia="宋体" w:hAnsi="仿宋_GB2312" w:hint="default"/>
          <w:b/>
          <w:bCs/>
          <w:sz w:val="24"/>
          <w:szCs w:val="24"/>
          <w:lang w:val="en-US"/>
        </w:rPr>
        <w:t>原告</w:t>
      </w:r>
      <w:r>
        <w:rPr>
          <w:rFonts w:ascii="宋体" w:cs="宋体" w:eastAsia="宋体" w:hAnsi="仿宋_GB2312" w:hint="eastAsia"/>
          <w:sz w:val="24"/>
          <w:szCs w:val="24"/>
        </w:rPr>
        <w:t>：</w:t>
      </w:r>
      <w:r>
        <w:rPr>
          <w:rFonts w:ascii="宋体" w:cs="宋体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何义军, 男, 汉族, </w:t>
      </w:r>
      <w:r>
        <w:rPr>
          <w:rFonts w:ascii="宋体" w:cs="宋体" w:eastAsia="宋体" w:hAnsi="Microsoft YaHei" w:hint="default"/>
          <w:b w:val="false"/>
          <w:bCs w:val="false"/>
          <w:i w:val="false"/>
          <w:iCs w:val="false"/>
          <w:noProof/>
          <w:snapToGrid w:val="false"/>
          <w:color w:val="000000"/>
          <w:spacing w:val="-13"/>
          <w:kern w:val="0"/>
          <w:sz w:val="24"/>
          <w:szCs w:val="24"/>
          <w:highlight w:val="none"/>
          <w:vertAlign w:val="baseline"/>
          <w:em w:val="none"/>
          <w:lang w:val="en-US" w:bidi="ar-SA" w:eastAsia="en-US"/>
        </w:rPr>
        <w:t>身份证号431126198402221233, 北京物资学院本科, 团员,</w:t>
      </w:r>
    </w:p>
    <w:p w14:paraId="105FFA9E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75"/>
        <w:ind w:left="420" w:leftChars="0"/>
        <w:jc w:val="left"/>
        <w:textAlignment w:val="baseline"/>
        <w:rPr>
          <w:rFonts w:ascii="宋体" w:cs="宋体" w:eastAsia="宋体"/>
          <w:sz w:val="24"/>
          <w:szCs w:val="24"/>
        </w:rPr>
      </w:pPr>
      <w:r>
        <w:rPr>
          <w:rFonts w:ascii="宋体" w:cs="宋体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住四川省成都市高新区天府大道北段18号附10号, 电话19250199051。</w:t>
      </w:r>
    </w:p>
    <w:p w14:paraId="7FEEBD25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ind w:left="34"/>
        <w:jc w:val="left"/>
        <w:textAlignment w:val="baseline"/>
        <w:rPr>
          <w:rFonts w:ascii="宋体" w:cs="宋体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宋体" w:eastAsia="宋体" w:hAnsi="Times New Roman" w:hint="default"/>
          <w:b/>
          <w:bCs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被告</w:t>
      </w:r>
      <w:r>
        <w:rPr>
          <w:rFonts w:ascii="宋体" w:cs="宋体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: 成都市高新区民政局, 住址:高新区益州大道中段999号(政务服务中心4楼C区),</w:t>
      </w:r>
    </w:p>
    <w:p w14:paraId="A429D706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ind w:left="454" w:leftChars="0"/>
        <w:jc w:val="left"/>
        <w:textAlignment w:val="baseline"/>
        <w:rPr>
          <w:rFonts w:ascii="宋体" w:cs="宋体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宋体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电话:028-61881800</w:t>
      </w:r>
    </w:p>
    <w:p w14:paraId="7D522FF2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jc w:val="left"/>
        <w:textAlignment w:val="baseline"/>
        <w:rPr>
          <w:rFonts w:ascii="宋体" w:cs="宋体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</w:pPr>
    </w:p>
    <w:p w14:paraId="7F73B98C">
      <w:pPr>
        <w:pStyle w:val="style0"/>
        <w:adjustRightInd/>
        <w:snapToGrid/>
        <w:spacing w:lineRule="auto" w:line="240"/>
        <w:jc w:val="both"/>
        <w:outlineLvl w:val="9"/>
        <w:rPr>
          <w:rFonts w:ascii="宋体" w:cs="宋体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宋体" w:eastAsia="宋体" w:hAnsi="宋体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名词简写及解释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:</w:t>
      </w:r>
    </w:p>
    <w:p w14:paraId="F495FCD5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ind w:left="244" w:leftChars="0"/>
        <w:jc w:val="left"/>
        <w:textAlignment w:val="baseline"/>
        <w:rPr>
          <w:rFonts w:ascii="宋体" w:cs="宋体" w:eastAsia="宋体" w:hAnsi="仿宋_GB2312" w:hint="default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eastAsia="宋体" w:hAnsi="仿宋_GB2312" w:hint="default"/>
          <w:b/>
          <w:bCs/>
          <w:sz w:val="24"/>
          <w:szCs w:val="24"/>
          <w:lang w:val="en-US" w:eastAsia="zh-CN"/>
        </w:rPr>
        <w:t>所有银行卡账单</w:t>
      </w: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lang w:val="en-US" w:eastAsia="zh-CN"/>
        </w:rPr>
        <w:t>: "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申请人所有银行卡近一年流水(下载云闪付,查询所有银行卡的截图)</w:t>
      </w: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lang w:val="en-US" w:eastAsia="zh-CN"/>
        </w:rPr>
        <w:t>";</w:t>
      </w:r>
    </w:p>
    <w:p w14:paraId="57D31C11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ind w:left="420" w:leftChars="0"/>
        <w:jc w:val="left"/>
        <w:textAlignment w:val="baseline"/>
        <w:rPr>
          <w:rFonts w:ascii="宋体" w:cs="宋体" w:eastAsia="宋体" w:hAnsi="仿宋_GB2312" w:hint="default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lang w:val="en-US" w:eastAsia="zh-CN"/>
        </w:rPr>
        <w:t>成都民政部门确认要申请人必须提交的"申请救助需提交的资料清单"文件的一项要求。</w:t>
      </w:r>
    </w:p>
    <w:p w14:paraId="4422E183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ind w:left="210" w:leftChars="0"/>
        <w:jc w:val="left"/>
        <w:textAlignment w:val="baseline"/>
        <w:rPr>
          <w:rFonts w:ascii="宋体" w:cs="宋体" w:eastAsia="宋体" w:hAnsi="仿宋_GB2312" w:hint="default"/>
          <w:b/>
          <w:bCs/>
          <w:sz w:val="24"/>
          <w:szCs w:val="24"/>
          <w:lang w:val="en-US" w:eastAsia="zh-CN"/>
        </w:rPr>
      </w:pPr>
      <w:r>
        <w:rPr>
          <w:rFonts w:ascii="宋体" w:cs="宋体" w:eastAsia="宋体" w:hAnsi="仿宋_GB2312" w:hint="default"/>
          <w:b/>
          <w:bCs/>
          <w:sz w:val="24"/>
          <w:szCs w:val="24"/>
          <w:lang w:val="en-US" w:eastAsia="zh-CN"/>
        </w:rPr>
        <w:t xml:space="preserve">初始申请救助日: 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原告第一次在政务网提交救助申请的日期"(早于7月2日第一次投诉)。</w:t>
      </w:r>
    </w:p>
    <w:p w14:paraId="31983B00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jc w:val="left"/>
        <w:textAlignment w:val="baseline"/>
        <w:rPr>
          <w:rFonts w:ascii="宋体" w:cs="宋体" w:eastAsia="宋体" w:hAnsi="仿宋_GB2312" w:hint="default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eastAsia="宋体" w:hAnsi="仿宋_GB2312" w:hint="default"/>
          <w:b/>
          <w:bCs/>
          <w:sz w:val="24"/>
          <w:szCs w:val="24"/>
          <w:lang w:val="en-US" w:eastAsia="zh-CN"/>
        </w:rPr>
        <w:t>主要适用的法律、法规和规章及规章以下</w:t>
      </w: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lang w:val="en-US" w:eastAsia="zh-CN"/>
        </w:rPr>
        <w:t xml:space="preserve">: </w:t>
      </w:r>
    </w:p>
    <w:p w14:paraId="BFF0100B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ind w:left="210" w:leftChars="0"/>
        <w:jc w:val="left"/>
        <w:textAlignment w:val="baseline"/>
        <w:rPr>
          <w:rFonts w:ascii="宋体" w:cs="宋体" w:eastAsia="宋体" w:hAnsi="宋体" w:hint="default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lang w:val="en-US" w:eastAsia="zh-CN"/>
        </w:rPr>
        <w:t>《中华人民共和国宪法》第四十一条第一、二、三款；</w:t>
      </w:r>
    </w:p>
    <w:p w14:paraId="675D54CB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ind w:left="210" w:leftChars="0"/>
        <w:jc w:val="left"/>
        <w:textAlignment w:val="baseline"/>
        <w:rPr>
          <w:rFonts w:ascii="宋体" w:cs="宋体" w:eastAsia="宋体" w:hAnsi="仿宋_GB2312"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eastAsia="宋体" w:hAnsi="宋体" w:hint="default"/>
          <w:b w:val="false"/>
          <w:bCs w:val="false"/>
          <w:sz w:val="24"/>
          <w:szCs w:val="24"/>
          <w:lang w:val="en-US" w:eastAsia="zh-CN"/>
        </w:rPr>
        <w:t>《中华人民共和国行政诉讼法》第一至第十一条</w:t>
      </w: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lang w:val="en-US" w:eastAsia="zh-CN"/>
        </w:rPr>
        <w:t>，</w:t>
      </w:r>
      <w:r>
        <w:rPr>
          <w:rFonts w:ascii="宋体" w:cs="宋体" w:eastAsia="宋体" w:hAnsi="宋体" w:hint="default"/>
          <w:b w:val="false"/>
          <w:bCs w:val="false"/>
          <w:sz w:val="24"/>
          <w:szCs w:val="24"/>
          <w:lang w:val="en-US" w:eastAsia="zh-CN"/>
        </w:rPr>
        <w:t>第十二条第一款的第十和第十二项</w:t>
      </w: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lang w:val="en-US" w:eastAsia="zh-CN"/>
        </w:rPr>
        <w:t>；</w:t>
      </w:r>
    </w:p>
    <w:p w14:paraId="94C2EA77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jc w:val="both"/>
        <w:textAlignment w:val="auto"/>
        <w:outlineLvl w:val="9"/>
        <w:rPr>
          <w:rFonts w:ascii="宋体" w:cs="宋体" w:eastAsia="宋体" w:hAnsi="黑体" w:hint="eastAsia"/>
          <w:b w:val="false"/>
          <w:bCs w:val="false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黑体" w:hint="default"/>
          <w:b/>
          <w:bCs/>
          <w:sz w:val="24"/>
          <w:szCs w:val="24"/>
          <w:u w:val="none"/>
          <w:lang w:val="en-US" w:eastAsia="zh-CN"/>
        </w:rPr>
        <w:t>起诉</w:t>
      </w:r>
      <w:r>
        <w:rPr>
          <w:rFonts w:ascii="宋体" w:cs="宋体" w:eastAsia="宋体" w:hAnsi="黑体" w:hint="eastAsia"/>
          <w:b/>
          <w:bCs/>
          <w:sz w:val="24"/>
          <w:szCs w:val="24"/>
          <w:u w:val="none"/>
          <w:lang w:val="en-US" w:eastAsia="zh-CN"/>
        </w:rPr>
        <w:t>请求</w:t>
      </w:r>
      <w:r>
        <w:rPr>
          <w:rFonts w:ascii="宋体" w:cs="宋体" w:eastAsia="宋体" w:hAnsi="黑体" w:hint="eastAsia"/>
          <w:b w:val="false"/>
          <w:bCs w:val="false"/>
          <w:sz w:val="24"/>
          <w:szCs w:val="24"/>
          <w:u w:val="none"/>
          <w:lang w:val="en-US" w:eastAsia="zh-CN"/>
        </w:rPr>
        <w:t>：</w:t>
      </w:r>
    </w:p>
    <w:p w14:paraId="F6A05460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8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仿宋_GB2312" w:hint="eastAsia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仿宋_GB2312" w:hint="default"/>
          <w:sz w:val="24"/>
          <w:szCs w:val="24"/>
          <w:u w:val="none"/>
          <w:lang w:val="en-US" w:eastAsia="zh-CN"/>
        </w:rPr>
        <w:t>公开审判，检察院监督，本案报送</w:t>
      </w:r>
      <w:r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  <w:t>检察院对</w:t>
      </w:r>
      <w:r>
        <w:rPr>
          <w:rFonts w:ascii="宋体" w:cs="宋体" w:eastAsia="宋体" w:hAnsi="仿宋_GB2312" w:hint="default"/>
          <w:sz w:val="24"/>
          <w:szCs w:val="24"/>
          <w:u w:val="none"/>
          <w:lang w:val="en-US" w:eastAsia="zh-CN"/>
        </w:rPr>
        <w:t>被告的不当行政行为提起公益行政诉讼;</w:t>
      </w:r>
    </w:p>
    <w:p w14:paraId="55F33DB7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8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仿宋_GB2312" w:hint="eastAsia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"当救不救"证实被告不作为, 审查被告所依据的法律、法规、规章及其他规范性文件;</w:t>
      </w:r>
    </w:p>
    <w:p w14:paraId="F982E7F2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8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仿宋_GB2312" w:hint="eastAsia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黑体" w:hint="default"/>
          <w:b w:val="false"/>
          <w:bCs w:val="false"/>
          <w:sz w:val="24"/>
          <w:szCs w:val="24"/>
          <w:u w:val="none"/>
          <w:lang w:val="en-US" w:eastAsia="zh-CN"/>
        </w:rPr>
        <w:t>被告由"初始申请救助日"开始，</w:t>
      </w:r>
      <w:r>
        <w:rPr>
          <w:rFonts w:ascii="宋体" w:cs="宋体" w:eastAsia="宋体" w:hAnsi="宋体" w:hint="default"/>
          <w:b w:val="false"/>
          <w:bCs w:val="false"/>
          <w:sz w:val="24"/>
          <w:szCs w:val="24"/>
          <w:u w:val="none"/>
          <w:lang w:val="en-US" w:eastAsia="zh-CN"/>
        </w:rPr>
        <w:t>补发应发救助</w:t>
      </w:r>
      <w:r>
        <w:rPr>
          <w:rFonts w:ascii="宋体" w:cs="宋体" w:eastAsia="宋体" w:hAnsi="黑体" w:hint="default"/>
          <w:b w:val="false"/>
          <w:bCs w:val="false"/>
          <w:sz w:val="24"/>
          <w:szCs w:val="24"/>
          <w:u w:val="none"/>
          <w:lang w:val="en-US" w:eastAsia="zh-CN"/>
        </w:rPr>
        <w:t>，</w:t>
      </w:r>
      <w:r>
        <w:rPr>
          <w:rFonts w:ascii="宋体" w:cs="宋体" w:eastAsia="宋体" w:hAnsi="宋体" w:hint="default"/>
          <w:b w:val="false"/>
          <w:bCs w:val="false"/>
          <w:sz w:val="24"/>
          <w:szCs w:val="24"/>
          <w:u w:val="none"/>
          <w:lang w:val="en-US" w:eastAsia="zh-CN"/>
        </w:rPr>
        <w:t xml:space="preserve">采取补救措施; </w:t>
      </w:r>
    </w:p>
    <w:p w14:paraId="7474E589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8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宋体" w:hint="eastAsia"/>
          <w:b w:val="false"/>
          <w:bCs w:val="false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Times New Roman" w:hint="default"/>
          <w:sz w:val="24"/>
          <w:szCs w:val="24"/>
          <w:u w:val="none"/>
          <w:lang w:val="en-US" w:eastAsia="zh-CN"/>
        </w:rPr>
        <w:t>被告支付原告赔偿金额</w:t>
      </w:r>
      <w:r>
        <w:rPr>
          <w:rFonts w:ascii="宋体" w:cs="宋体" w:eastAsia="宋体" w:hAnsi="Calibri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11144700</w:t>
      </w:r>
      <w:r>
        <w:rPr>
          <w:rFonts w:ascii="宋体" w:cs="宋体" w:eastAsia="宋体" w:hAnsi="Times New Roman" w:hint="default"/>
          <w:sz w:val="24"/>
          <w:szCs w:val="24"/>
          <w:u w:val="none"/>
          <w:lang w:val="en-US" w:eastAsia="zh-CN"/>
        </w:rPr>
        <w:t>元（</w:t>
      </w:r>
      <w:r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  <w:t>立案要填"标的额", 先用"7月2日"作起始,后更正)</w:t>
      </w:r>
      <w:r>
        <w:rPr>
          <w:rFonts w:ascii="宋体" w:cs="宋体" w:eastAsia="宋体" w:hAnsi="Times New Roman" w:hint="default"/>
          <w:sz w:val="24"/>
          <w:szCs w:val="24"/>
          <w:u w:val="none"/>
          <w:lang w:val="en-US" w:eastAsia="zh-CN"/>
        </w:rPr>
        <w:t>；</w:t>
      </w:r>
    </w:p>
    <w:p w14:paraId="91350357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jc w:val="both"/>
        <w:textAlignment w:val="auto"/>
        <w:outlineLvl w:val="9"/>
        <w:rPr>
          <w:rFonts w:ascii="宋体" w:cs="宋体" w:eastAsia="宋体" w:hAnsi="黑体" w:hint="eastAsia"/>
          <w:b w:val="false"/>
          <w:bCs w:val="false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4"/>
          <w:szCs w:val="24"/>
          <w:u w:val="none"/>
          <w:lang w:val="en-US" w:eastAsia="zh-CN"/>
        </w:rPr>
        <w:t>事实和理由</w:t>
      </w:r>
      <w:r>
        <w:rPr>
          <w:rFonts w:ascii="宋体" w:cs="宋体" w:eastAsia="宋体" w:hAnsi="黑体" w:hint="eastAsia"/>
          <w:b w:val="false"/>
          <w:bCs w:val="false"/>
          <w:sz w:val="24"/>
          <w:szCs w:val="24"/>
          <w:u w:val="none"/>
          <w:lang w:val="en-US" w:eastAsia="zh-CN"/>
        </w:rPr>
        <w:t>：</w:t>
      </w:r>
    </w:p>
    <w:p w14:paraId="AE3FC881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29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  <w:t>"</w:t>
      </w:r>
      <w:r>
        <w:rPr>
          <w:rFonts w:ascii="宋体" w:cs="宋体" w:eastAsia="宋体" w:hAnsi="宋体" w:hint="default"/>
          <w:b/>
          <w:bCs/>
          <w:sz w:val="24"/>
          <w:szCs w:val="24"/>
          <w:u w:val="none"/>
          <w:lang w:val="en-US" w:eastAsia="zh-CN"/>
        </w:rPr>
        <w:t>调查申请人的收入情况</w:t>
      </w:r>
      <w:r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  <w:t>"是</w:t>
      </w:r>
      <w:r>
        <w:rPr>
          <w:rFonts w:ascii="宋体" w:cs="宋体" w:eastAsia="宋体" w:hAnsi="宋体" w:hint="default"/>
          <w:b/>
          <w:bCs/>
          <w:sz w:val="24"/>
          <w:szCs w:val="24"/>
          <w:u w:val="none"/>
          <w:lang w:val="en-US" w:eastAsia="zh-CN"/>
        </w:rPr>
        <w:t>民政部门的本职工作，不应责权倒置反要求申请人自证</w:t>
      </w:r>
      <w:r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  <w:t>。</w:t>
      </w:r>
    </w:p>
    <w:p w14:paraId="1BB58FB6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firstLine="0" w:firstLineChars="0"/>
        <w:jc w:val="both"/>
        <w:textAlignment w:val="auto"/>
        <w:outlineLvl w:val="9"/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  <w:t>民政部门完全可以申请其他有关政府部门协助调查。因为有申请人的"调查授权书"。</w:t>
      </w:r>
    </w:p>
    <w:p w14:paraId="D195CECC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29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仿宋_GB2312" w:hint="default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仿宋_GB2312" w:hint="default"/>
          <w:sz w:val="24"/>
          <w:szCs w:val="24"/>
          <w:u w:val="none"/>
          <w:lang w:val="en-US" w:eastAsia="zh-CN"/>
        </w:rPr>
        <w:t>要求"</w:t>
      </w:r>
      <w:r>
        <w:rPr>
          <w:rFonts w:ascii="宋体" w:cs="宋体" w:eastAsia="宋体" w:hAnsi="仿宋_GB2312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所有银行卡账单</w:t>
      </w:r>
      <w:r>
        <w:rPr>
          <w:rFonts w:ascii="宋体" w:cs="宋体" w:eastAsia="宋体" w:hAnsi="仿宋_GB2312" w:hint="default"/>
          <w:sz w:val="24"/>
          <w:szCs w:val="24"/>
          <w:u w:val="none"/>
          <w:lang w:val="en-US" w:eastAsia="zh-CN"/>
        </w:rPr>
        <w:t>"确实"显式不合理"。</w:t>
      </w:r>
    </w:p>
    <w:p w14:paraId="040D1803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4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仿宋_GB2312" w:hint="default"/>
          <w:sz w:val="24"/>
          <w:szCs w:val="24"/>
          <w:u w:val="single"/>
          <w:lang w:val="en-US" w:eastAsia="zh-CN"/>
        </w:rPr>
        <w:t>只有少数大城市，</w:t>
      </w:r>
      <w:r>
        <w:rPr>
          <w:rFonts w:ascii="宋体" w:cs="宋体" w:eastAsia="宋体" w:hAnsi="宋体" w:hint="default"/>
          <w:sz w:val="24"/>
          <w:szCs w:val="24"/>
          <w:u w:val="single"/>
          <w:lang w:val="en-US" w:eastAsia="zh-CN"/>
        </w:rPr>
        <w:t>才有"所有申请条件"的所有前置要求</w:t>
      </w:r>
      <w:r>
        <w:rPr>
          <w:rFonts w:ascii="宋体" w:cs="宋体" w:eastAsia="宋体" w:hAnsi="仿宋_GB2312" w:hint="default"/>
          <w:sz w:val="24"/>
          <w:szCs w:val="24"/>
          <w:u w:val="single"/>
          <w:lang w:val="en-US" w:eastAsia="zh-CN"/>
        </w:rPr>
        <w:t>，</w:t>
      </w:r>
      <w:r>
        <w:rPr>
          <w:rFonts w:ascii="宋体" w:cs="宋体" w:eastAsia="宋体" w:hAnsi="宋体" w:hint="default"/>
          <w:sz w:val="24"/>
          <w:szCs w:val="24"/>
          <w:u w:val="single"/>
          <w:lang w:val="en-US" w:eastAsia="zh-CN"/>
        </w:rPr>
        <w:t>才能提交所有申请条件</w:t>
      </w:r>
      <w:r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  <w:t>。</w:t>
      </w:r>
    </w:p>
    <w:p w14:paraId="F68D3F35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4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宋体" w:hint="default"/>
          <w:sz w:val="24"/>
          <w:szCs w:val="24"/>
          <w:u w:val="single"/>
          <w:lang w:val="en-US" w:eastAsia="zh-CN"/>
        </w:rPr>
        <w:t>有一大类的救助申请人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zh-CN"/>
        </w:rPr>
        <w:t>不在大城市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zh-CN"/>
        </w:rPr>
        <w:t>；</w:t>
      </w:r>
      <w:r>
        <w:rPr>
          <w:rFonts w:ascii="宋体" w:cs="宋体" w:eastAsia="宋体" w:hAnsi="宋体" w:hint="default"/>
          <w:sz w:val="24"/>
          <w:szCs w:val="24"/>
          <w:u w:val="single"/>
          <w:lang w:val="en-US" w:eastAsia="zh-CN"/>
        </w:rPr>
        <w:t>必须先"得到救助"</w:t>
      </w:r>
      <w:r>
        <w:rPr>
          <w:rFonts w:ascii="宋体" w:cs="宋体" w:eastAsia="宋体" w:hAnsi="仿宋_GB2312" w:hint="default"/>
          <w:sz w:val="24"/>
          <w:szCs w:val="24"/>
          <w:u w:val="single"/>
          <w:lang w:val="en-US" w:eastAsia="zh-CN"/>
        </w:rPr>
        <w:t>，</w:t>
      </w:r>
      <w:r>
        <w:rPr>
          <w:rFonts w:ascii="宋体" w:cs="宋体" w:eastAsia="宋体" w:hAnsi="宋体" w:hint="default"/>
          <w:sz w:val="24"/>
          <w:szCs w:val="24"/>
          <w:u w:val="single"/>
          <w:lang w:val="en-US" w:eastAsia="zh-CN"/>
        </w:rPr>
        <w:t>才能在大城市恢复生活</w:t>
      </w:r>
      <w:r>
        <w:rPr>
          <w:rFonts w:ascii="宋体" w:cs="宋体" w:eastAsia="宋体" w:hAnsi="仿宋_GB2312" w:hint="default"/>
          <w:sz w:val="24"/>
          <w:szCs w:val="24"/>
          <w:u w:val="none"/>
          <w:lang w:val="en-US" w:eastAsia="zh-CN"/>
        </w:rPr>
        <w:t>；</w:t>
      </w:r>
    </w:p>
    <w:p w14:paraId="6AA978AE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firstLine="0" w:firstLineChars="0"/>
        <w:jc w:val="both"/>
        <w:textAlignment w:val="auto"/>
        <w:outlineLvl w:val="9"/>
        <w:rPr>
          <w:rFonts w:ascii="宋体" w:cs="宋体" w:eastAsia="宋体" w:hAnsi="宋体" w:hint="default"/>
          <w:b w:val="false"/>
          <w:bCs w:val="false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宋体" w:hint="default"/>
          <w:b w:val="false"/>
          <w:bCs w:val="false"/>
          <w:sz w:val="24"/>
          <w:szCs w:val="24"/>
          <w:u w:val="none"/>
          <w:lang w:val="en-US" w:eastAsia="zh-CN"/>
        </w:rPr>
        <w:t>因此</w:t>
      </w: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u w:val="none"/>
          <w:lang w:val="en-US" w:eastAsia="zh-CN"/>
        </w:rPr>
        <w:t>，</w:t>
      </w:r>
      <w:r>
        <w:rPr>
          <w:rFonts w:ascii="宋体" w:cs="宋体" w:eastAsia="宋体" w:hAnsi="宋体" w:hint="default"/>
          <w:b w:val="false"/>
          <w:bCs w:val="false"/>
          <w:sz w:val="24"/>
          <w:szCs w:val="24"/>
          <w:u w:val="none"/>
          <w:lang w:val="en-US" w:eastAsia="zh-CN"/>
        </w:rPr>
        <w:t>"显式不合理"的行政要求, 将造成"循环论证"</w:t>
      </w: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u w:val="none"/>
          <w:lang w:val="en-US" w:eastAsia="zh-CN"/>
        </w:rPr>
        <w:t>，</w:t>
      </w:r>
      <w:r>
        <w:rPr>
          <w:rFonts w:ascii="宋体" w:cs="宋体" w:eastAsia="宋体" w:hAnsi="宋体" w:hint="default"/>
          <w:b w:val="false"/>
          <w:bCs w:val="false"/>
          <w:sz w:val="24"/>
          <w:szCs w:val="24"/>
          <w:u w:val="none"/>
          <w:lang w:val="en-US" w:eastAsia="zh-CN"/>
        </w:rPr>
        <w:t>侵占"这一类申请人"的有关权利。</w:t>
      </w:r>
    </w:p>
    <w:p w14:paraId="0141D274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4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/>
          <w:sz w:val="24"/>
          <w:szCs w:val="24"/>
        </w:rPr>
      </w:pPr>
      <w:r>
        <w:rPr>
          <w:rFonts w:ascii="宋体" w:cs="宋体" w:eastAsia="宋体" w:hAnsi="宋体" w:hint="default"/>
          <w:b/>
          <w:bCs/>
          <w:sz w:val="24"/>
          <w:szCs w:val="24"/>
          <w:u w:val="single"/>
          <w:lang w:val="en-US" w:eastAsia="zh-CN"/>
        </w:rPr>
        <w:t>原告事实上符合救助条件</w:t>
      </w:r>
      <w:r>
        <w:rPr>
          <w:rFonts w:ascii="宋体" w:cs="宋体" w:eastAsia="宋体" w:hAnsi="仿宋_GB2312" w:hint="default"/>
          <w:b/>
          <w:bCs/>
          <w:sz w:val="24"/>
          <w:szCs w:val="24"/>
          <w:u w:val="single"/>
          <w:lang w:val="en-US" w:eastAsia="zh-CN"/>
        </w:rPr>
        <w:t>，但是因为"显式不合理"的行政误作为而不能及时得到救助</w:t>
      </w:r>
      <w:r>
        <w:rPr>
          <w:rFonts w:ascii="宋体" w:cs="宋体" w:eastAsia="宋体" w:hAnsi="仿宋_GB2312" w:hint="default"/>
          <w:sz w:val="24"/>
          <w:szCs w:val="24"/>
          <w:u w:val="none"/>
          <w:lang w:val="en-US" w:eastAsia="zh-CN"/>
        </w:rPr>
        <w:t>。</w:t>
      </w:r>
    </w:p>
    <w:p w14:paraId="DDC90E02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firstLine="0" w:firstLineChars="0"/>
        <w:jc w:val="both"/>
        <w:textAlignment w:val="auto"/>
        <w:outlineLvl w:val="9"/>
        <w:rPr>
          <w:rFonts w:ascii="宋体" w:cs="宋体" w:eastAsia="宋体" w:hAnsi="宋体"/>
          <w:sz w:val="24"/>
          <w:szCs w:val="24"/>
        </w:rPr>
      </w:pP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①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原告现在湖南乡村父母家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靠父母救济存活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；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急需救助恢复正常生活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；</w:t>
      </w:r>
    </w:p>
    <w:p w14:paraId="330C5B25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firstLine="0" w:firstLineChars="0"/>
        <w:jc w:val="both"/>
        <w:textAlignment w:val="auto"/>
        <w:outlineLvl w:val="9"/>
        <w:rPr>
          <w:rFonts w:ascii="宋体" w:cs="宋体" w:eastAsia="宋体"/>
          <w:sz w:val="24"/>
          <w:szCs w:val="24"/>
          <w:u w:val="none"/>
        </w:rPr>
      </w:pP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②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原告查云闪付有26张(17家银行)卡, 大多数不是换过手机号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，就是取款密码不记得。</w:t>
      </w:r>
    </w:p>
    <w:p w14:paraId="58D275F9"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leftChars="0"/>
        <w:jc w:val="both"/>
        <w:textAlignment w:val="auto"/>
        <w:outlineLvl w:val="9"/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none" w:color="auto"/>
          <w:vertAlign w:val="baseline"/>
          <w:em w:val="none"/>
          <w:lang w:val="en-US" w:bidi="ar-SA" w:eastAsia="zh-CN"/>
        </w:rPr>
      </w:pP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none" w:color="auto"/>
          <w:vertAlign w:val="baseline"/>
          <w:em w:val="none"/>
          <w:lang w:val="en-US" w:bidi="ar-SA" w:eastAsia="zh-CN"/>
        </w:rPr>
        <w:t>③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none" w:color="auto"/>
          <w:vertAlign w:val="baseline"/>
          <w:em w:val="none"/>
          <w:lang w:val="en-US" w:bidi="ar-SA" w:eastAsia="zh-CN"/>
        </w:rPr>
        <w:t>原告多次声明过要求显式不合理, 被告仍发有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"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所有银行卡账单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"的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none" w:color="auto"/>
          <w:vertAlign w:val="baseline"/>
          <w:em w:val="none"/>
          <w:lang w:val="en-US" w:bidi="ar-SA" w:eastAsia="zh-CN"/>
        </w:rPr>
        <w:t>"申请资料清单"。</w:t>
      </w:r>
    </w:p>
    <w:p w14:paraId="BDA59EAD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44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/>
          <w:sz w:val="24"/>
          <w:szCs w:val="24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none" w:color="auto"/>
          <w:vertAlign w:val="baseline"/>
          <w:em w:val="none"/>
          <w:lang w:val="en-US" w:bidi="ar-SA" w:eastAsia="zh-CN"/>
        </w:rPr>
        <w:t>只有少数大城市有这17家银行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。不在这种大城市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就不能提交26张卡的账单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；</w:t>
      </w:r>
    </w:p>
    <w:p w14:paraId="BB447EAB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44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/>
          <w:sz w:val="24"/>
          <w:szCs w:val="24"/>
        </w:rPr>
      </w:pP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去到这种大城市生活，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必须要先得到救助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；才能提交救助的"所有申请条件"。</w:t>
      </w:r>
    </w:p>
    <w:p w14:paraId="93434773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44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/>
          <w:sz w:val="24"/>
          <w:szCs w:val="24"/>
        </w:rPr>
      </w:pP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要证实被告行政行为"显式不合理"，还要加上以下两点银行的常识(原告都验过):</w:t>
      </w:r>
    </w:p>
    <w:p w14:paraId="AF43C1CC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840" w:firstLine="0" w:firstLineChars="0"/>
        <w:jc w:val="both"/>
        <w:textAlignment w:val="auto"/>
        <w:outlineLvl w:val="9"/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①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重置银行卡取款密码或更换主手机号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大多数银行都要去线下营业网点;</w:t>
      </w:r>
    </w:p>
    <w:p w14:paraId="659EFF20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840" w:firstLine="0" w:firstLineChars="0"/>
        <w:jc w:val="both"/>
        <w:textAlignment w:val="auto"/>
        <w:outlineLvl w:val="9"/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②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查询银行卡账单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必须有"取款密码和手机验证码"才能登陆银行卡账户。</w:t>
      </w:r>
    </w:p>
    <w:p w14:paraId="C3FBC312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4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仿宋_GB2312" w:hint="default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宋体" w:hint="default"/>
          <w:b/>
          <w:bCs/>
          <w:sz w:val="24"/>
          <w:szCs w:val="24"/>
          <w:u w:val="none"/>
          <w:lang w:val="en-US" w:eastAsia="zh-CN"/>
        </w:rPr>
        <w:t>原告向"四川省民政厅"发起过一次信访(7月2日)一次投诉(7月11日)</w:t>
      </w:r>
      <w:r>
        <w:rPr>
          <w:rFonts w:ascii="宋体" w:cs="宋体" w:eastAsia="宋体" w:hAnsi="仿宋_GB2312" w:hint="default"/>
          <w:b/>
          <w:bCs/>
          <w:sz w:val="24"/>
          <w:szCs w:val="24"/>
          <w:u w:val="none"/>
          <w:lang w:val="en-US" w:eastAsia="zh-CN"/>
        </w:rPr>
        <w:t>，至今未得救助</w:t>
      </w:r>
      <w:r>
        <w:rPr>
          <w:rFonts w:ascii="宋体" w:cs="宋体" w:eastAsia="宋体" w:hAnsi="仿宋_GB2312" w:hint="default"/>
          <w:sz w:val="24"/>
          <w:szCs w:val="24"/>
          <w:u w:val="none"/>
          <w:lang w:val="en-US" w:eastAsia="zh-CN"/>
        </w:rPr>
        <w:t>。</w:t>
      </w:r>
    </w:p>
    <w:p w14:paraId="61B12A81">
      <w:pPr>
        <w:pStyle w:val="style179"/>
        <w:numPr>
          <w:ilvl w:val="0"/>
          <w:numId w:val="34"/>
        </w:numPr>
        <w:adjustRightInd/>
        <w:snapToGrid/>
        <w:spacing w:lineRule="auto" w:line="240"/>
        <w:ind w:firstLineChars="0"/>
        <w:jc w:val="both"/>
        <w:outlineLvl w:val="9"/>
        <w:rPr>
          <w:rFonts w:ascii="宋体" w:cs="宋体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宋体" w:eastAsia="宋体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损失赔偿模型。 </w:t>
      </w:r>
      <w:r>
        <w:rPr>
          <w:rFonts w:ascii="宋体" w:cs="宋体" w:eastAsia="宋体" w:hAnsi="Calibri" w:hint="default"/>
          <w:b/>
          <w:bCs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赔偿金额计算公式为: ["总天数" × "日薪" × </w:t>
      </w:r>
      <w:r>
        <w:rPr>
          <w:rFonts w:ascii="宋体" w:cs="宋体" w:eastAsia="宋体" w:hAnsi="Calibri" w:hint="default"/>
          <w:b/>
          <w:bCs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"放大系数"</w:t>
      </w:r>
      <w:r>
        <w:rPr>
          <w:rFonts w:ascii="宋体" w:cs="宋体" w:eastAsia="宋体" w:hAnsi="Calibri" w:hint="default"/>
          <w:b/>
          <w:bCs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]。</w:t>
      </w:r>
    </w:p>
    <w:p w14:paraId="7FB1B604">
      <w:pPr>
        <w:pStyle w:val="style0"/>
        <w:numPr>
          <w:ilvl w:val="0"/>
          <w:numId w:val="0"/>
        </w:numPr>
        <w:adjustRightInd/>
        <w:snapToGrid/>
        <w:spacing w:lineRule="auto" w:line="240"/>
        <w:ind w:left="420" w:leftChars="0"/>
        <w:jc w:val="both"/>
        <w:outlineLvl w:val="9"/>
        <w:rPr>
          <w:rFonts w:ascii="宋体" w:cs="宋体" w:eastAsia="宋体"/>
          <w:b w:val="false"/>
          <w:bCs w:val="false"/>
          <w:sz w:val="24"/>
          <w:szCs w:val="24"/>
        </w:rPr>
      </w:pP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①"放大系数": 10.0。因为"要求显式不合理"是侵占"所有应当救助市民"的有关权利。</w:t>
      </w:r>
    </w:p>
    <w:p w14:paraId="8E8CCF45">
      <w:pPr>
        <w:pStyle w:val="style0"/>
        <w:adjustRightInd/>
        <w:snapToGrid/>
        <w:spacing w:lineRule="auto" w:line="240"/>
        <w:ind w:left="420" w:leftChars="0"/>
        <w:jc w:val="both"/>
        <w:outlineLvl w:val="9"/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宋体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②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"总天数": "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初始申请救助日"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为起始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，"本案判决日(估计11月05日)"为结束而计算。</w:t>
      </w:r>
    </w:p>
    <w:p w14:paraId="54C8DCD7">
      <w:pPr>
        <w:pStyle w:val="style0"/>
        <w:adjustRightInd/>
        <w:snapToGrid/>
        <w:spacing w:lineRule="auto" w:line="240"/>
        <w:ind w:left="630" w:leftChars="0"/>
        <w:jc w:val="both"/>
        <w:outlineLvl w:val="9"/>
        <w:rPr>
          <w:rFonts w:ascii="宋体" w:cs="宋体" w:eastAsia="宋体"/>
          <w:b w:val="false"/>
          <w:bCs w:val="false"/>
          <w:sz w:val="24"/>
          <w:szCs w:val="24"/>
        </w:rPr>
      </w:pPr>
      <w:r>
        <w:rPr>
          <w:rFonts w:ascii="宋体" w:cs="宋体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u w:val="single"/>
          <w:vertAlign w:val="baseline"/>
          <w:em w:val="none"/>
          <w:lang w:val="en-US" w:bidi="ar-SA" w:eastAsia="zh-CN"/>
        </w:rPr>
        <w:t>为立案计算标的额，先用7月2日作为起始日期, 计算得总天数 122天。判后更正</w:t>
      </w:r>
      <w:r>
        <w:rPr>
          <w:rFonts w:ascii="宋体" w:cs="宋体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。</w:t>
      </w:r>
    </w:p>
    <w:p w14:paraId="B4EFA18E">
      <w:pPr>
        <w:pStyle w:val="style0"/>
        <w:adjustRightInd/>
        <w:snapToGrid/>
        <w:spacing w:lineRule="auto" w:line="240"/>
        <w:ind w:left="420" w:leftChars="0"/>
        <w:jc w:val="both"/>
        <w:outlineLvl w:val="9"/>
        <w:rPr>
          <w:rFonts w:ascii="宋体" w:cs="宋体" w:eastAsia="宋体"/>
          <w:b w:val="false"/>
          <w:bCs w:val="false"/>
          <w:sz w:val="24"/>
          <w:szCs w:val="24"/>
        </w:rPr>
      </w:pPr>
      <w:r>
        <w:rPr>
          <w:rFonts w:ascii="宋体" w:cs="宋体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③"日薪"(原告2025年的)应当为:9135元/天; 根据历史薪资计算年均增长率估计的:</w:t>
      </w:r>
    </w:p>
    <w:p w14:paraId="35522241">
      <w:pPr>
        <w:pStyle w:val="style0"/>
        <w:adjustRightInd/>
        <w:snapToGrid/>
        <w:spacing w:lineRule="auto" w:line="240"/>
        <w:ind w:left="630" w:leftChars="0"/>
        <w:jc w:val="both"/>
        <w:outlineLvl w:val="9"/>
        <w:rPr>
          <w:rFonts w:ascii="宋体" w:cs="宋体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宋体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2008年月薪7千,2018年月10万,年增长15.49%; 估计2025年薪383.65万.</w:t>
      </w:r>
    </w:p>
    <w:p w14:paraId="AE26F670">
      <w:pPr>
        <w:pStyle w:val="style0"/>
        <w:adjustRightInd/>
        <w:snapToGrid/>
        <w:spacing w:lineRule="auto" w:line="240"/>
        <w:ind w:left="420" w:leftChars="0"/>
        <w:jc w:val="both"/>
        <w:outlineLvl w:val="9"/>
        <w:rPr>
          <w:rFonts w:ascii="宋体" w:cs="宋体" w:eastAsia="宋体" w:hAnsi="仿宋_GB2312" w:hint="default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④被告应赔偿金额 11144700.00元[ 122 ×9135 ×10 ]</w:t>
      </w:r>
    </w:p>
    <w:p w14:paraId="6C680078"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jc w:val="both"/>
        <w:textAlignment w:val="auto"/>
        <w:outlineLvl w:val="9"/>
        <w:rPr>
          <w:rFonts w:ascii="宋体" w:cs="宋体" w:eastAsia="宋体" w:hAnsi="仿宋_GB2312" w:hint="default"/>
          <w:b/>
          <w:bCs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仿宋_GB2312" w:hint="default"/>
          <w:b/>
          <w:bCs/>
          <w:sz w:val="24"/>
          <w:szCs w:val="24"/>
          <w:u w:val="none"/>
          <w:lang w:val="en-US" w:eastAsia="zh-CN"/>
        </w:rPr>
        <w:t>证据:</w:t>
      </w:r>
    </w:p>
    <w:p w14:paraId="00534A0E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6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仿宋_GB2312"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u w:val="none"/>
          <w:lang w:val="en-US" w:eastAsia="zh-CN"/>
        </w:rPr>
        <w:t>与"成都民政部门经办工作人员"的微信聊天记录截屏。</w:t>
      </w:r>
    </w:p>
    <w:p w14:paraId="2E5153F7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6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仿宋_GB2312"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u w:val="none"/>
          <w:lang w:val="en-US" w:eastAsia="zh-CN"/>
        </w:rPr>
        <w:t>"成都民政部门经办工作人员"要求申请人必须提供的文件清单。</w:t>
      </w:r>
    </w:p>
    <w:p w14:paraId="9A33B9CD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6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仿宋_GB2312"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u w:val="none"/>
          <w:lang w:val="en-US" w:eastAsia="zh-CN"/>
        </w:rPr>
        <w:t>原告向"四川省民政厅"发起过一次信访一次投诉。</w:t>
      </w:r>
    </w:p>
    <w:p w14:paraId="636CBE6B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6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仿宋_GB2312"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lang w:val="en-US" w:eastAsia="zh-CN"/>
        </w:rPr>
        <w:t>原告在2018年的收入证明(劳动合同及交行代发工资证明)。</w:t>
      </w:r>
    </w:p>
    <w:p w14:paraId="092E8B5B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jc w:val="both"/>
        <w:textAlignment w:val="auto"/>
        <w:outlineLvl w:val="9"/>
        <w:rPr>
          <w:rFonts w:ascii="宋体" w:cs="宋体" w:eastAsia="宋体" w:hAnsi="仿宋_GB2312" w:hint="eastAsia"/>
          <w:b/>
          <w:bCs/>
          <w:sz w:val="24"/>
          <w:szCs w:val="24"/>
          <w:lang w:val="en-US" w:eastAsia="zh-CN"/>
        </w:rPr>
      </w:pPr>
      <w:r>
        <w:rPr>
          <w:rFonts w:ascii="宋体" w:cs="宋体" w:eastAsia="宋体" w:hAnsi="仿宋_GB2312" w:hint="eastAsia"/>
          <w:b/>
          <w:bCs/>
          <w:sz w:val="24"/>
          <w:szCs w:val="24"/>
          <w:lang w:val="en-US" w:eastAsia="zh-CN"/>
        </w:rPr>
        <w:t>此致</w:t>
      </w:r>
      <w:r>
        <w:rPr>
          <w:rFonts w:ascii="宋体" w:cs="宋体" w:eastAsia="宋体"/>
          <w:sz w:val="24"/>
          <w:szCs w:val="24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5800253</wp:posOffset>
            </wp:positionH>
            <wp:positionV relativeFrom="page">
              <wp:posOffset>10831544</wp:posOffset>
            </wp:positionV>
            <wp:extent cx="575640" cy="457272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5640" cy="457272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2583AE8A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leftChars="0"/>
        <w:jc w:val="both"/>
        <w:textAlignment w:val="auto"/>
        <w:outlineLvl w:val="9"/>
        <w:rPr>
          <w:rFonts w:ascii="宋体" w:cs="宋体" w:eastAsia="宋体" w:hAnsi="仿宋_GB2312" w:hint="eastAsia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仿宋_GB2312" w:hint="default"/>
          <w:sz w:val="24"/>
          <w:szCs w:val="24"/>
          <w:u w:val="single"/>
          <w:lang w:val="en-US" w:eastAsia="zh-CN"/>
        </w:rPr>
        <w:t>四川省成都市高新区人民法院</w:t>
      </w:r>
    </w:p>
    <w:p w14:paraId="76E6D657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5250" w:leftChars="0"/>
        <w:jc w:val="both"/>
        <w:textAlignment w:val="auto"/>
        <w:outlineLvl w:val="9"/>
        <w:rPr>
          <w:rFonts w:ascii="宋体" w:cs="宋体" w:eastAsia="宋体" w:hAnsi="宋体" w:hint="eastAsia"/>
          <w:sz w:val="24"/>
          <w:szCs w:val="24"/>
          <w:u w:val="single"/>
          <w:lang w:val="en-US" w:eastAsia="zh-CN"/>
        </w:rPr>
      </w:pPr>
      <w:r>
        <w:rPr>
          <w:rFonts w:ascii="宋体" w:cs="宋体" w:eastAsia="宋体" w:hAnsi="仿宋_GB2312" w:hint="eastAsia"/>
          <w:sz w:val="24"/>
          <w:szCs w:val="24"/>
          <w:u w:val="none"/>
          <w:lang w:val="en-US" w:eastAsia="zh-CN"/>
        </w:rPr>
        <w:t>申请人（</w:t>
      </w:r>
      <w:r>
        <w:rPr>
          <w:rFonts w:ascii="宋体" w:cs="宋体" w:eastAsia="宋体" w:hAnsi="宋体" w:hint="eastAsia"/>
          <w:sz w:val="24"/>
          <w:szCs w:val="24"/>
          <w:u w:val="none"/>
          <w:lang w:val="en-US" w:eastAsia="zh-CN"/>
        </w:rPr>
        <w:t>签名或盖章</w:t>
      </w:r>
      <w:r>
        <w:rPr>
          <w:rFonts w:ascii="宋体" w:cs="宋体" w:eastAsia="宋体" w:hAnsi="仿宋_GB2312" w:hint="eastAsia"/>
          <w:sz w:val="24"/>
          <w:szCs w:val="24"/>
          <w:u w:val="none"/>
          <w:lang w:val="en-US" w:eastAsia="zh-CN"/>
        </w:rPr>
        <w:t>）：</w:t>
      </w:r>
      <w:r>
        <w:rPr>
          <w:rFonts w:ascii="宋体" w:cs="宋体" w:eastAsia="宋体" w:hAnsi="宋体" w:hint="eastAsia"/>
          <w:sz w:val="24"/>
          <w:szCs w:val="24"/>
          <w:u w:val="single"/>
          <w:lang w:val="en-US" w:eastAsia="zh-CN"/>
        </w:rPr>
        <w:t xml:space="preserve">        </w:t>
      </w:r>
    </w:p>
    <w:p w14:paraId="4CEB85A1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1050" w:leftChars="0" w:firstLine="640" w:firstLineChars="200"/>
        <w:jc w:val="both"/>
        <w:textAlignment w:val="auto"/>
        <w:outlineLvl w:val="9"/>
        <w:rPr>
          <w:rFonts w:ascii="宋体" w:cs="宋体" w:eastAsia="宋体" w:hAnsi="宋体" w:hint="default"/>
          <w:sz w:val="24"/>
          <w:szCs w:val="24"/>
          <w:lang w:val="en-US" w:eastAsia="zh-CN"/>
        </w:rPr>
      </w:pPr>
      <w:r>
        <w:rPr>
          <w:rFonts w:ascii="宋体" w:cs="宋体" w:eastAsia="宋体" w:hAnsi="宋体" w:hint="eastAsia"/>
          <w:sz w:val="24"/>
          <w:szCs w:val="24"/>
          <w:u w:val="none"/>
          <w:lang w:val="en-US" w:eastAsia="zh-CN"/>
        </w:rPr>
        <w:t xml:space="preserve">                                 </w:t>
      </w:r>
      <w:r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  <w:t xml:space="preserve">        </w:t>
      </w:r>
      <w:r>
        <w:rPr>
          <w:rFonts w:ascii="宋体" w:cs="宋体" w:eastAsia="宋体" w:hAnsi="宋体" w:hint="default"/>
          <w:sz w:val="24"/>
          <w:szCs w:val="24"/>
          <w:u w:val="single"/>
          <w:lang w:val="en-US" w:eastAsia="zh-CN"/>
        </w:rPr>
        <w:t>2025</w:t>
      </w:r>
      <w:r>
        <w:rPr>
          <w:rFonts w:ascii="宋体" w:cs="宋体" w:eastAsia="宋体" w:hAnsi="宋体" w:hint="eastAsia"/>
          <w:sz w:val="24"/>
          <w:szCs w:val="24"/>
          <w:u w:val="none"/>
          <w:lang w:val="en-US" w:eastAsia="zh-CN"/>
        </w:rPr>
        <w:t>年</w:t>
      </w:r>
      <w:r>
        <w:rPr>
          <w:rFonts w:ascii="宋体" w:cs="宋体" w:eastAsia="宋体" w:hAnsi="宋体" w:hint="default"/>
          <w:sz w:val="24"/>
          <w:szCs w:val="24"/>
          <w:u w:val="single"/>
          <w:lang w:val="en-US" w:eastAsia="zh-CN"/>
        </w:rPr>
        <w:t>09</w:t>
      </w:r>
      <w:r>
        <w:rPr>
          <w:rFonts w:ascii="宋体" w:cs="宋体" w:eastAsia="宋体" w:hAnsi="宋体" w:hint="eastAsia"/>
          <w:sz w:val="24"/>
          <w:szCs w:val="24"/>
          <w:u w:val="none"/>
          <w:lang w:val="en-US" w:eastAsia="zh-CN"/>
        </w:rPr>
        <w:t>月</w:t>
      </w:r>
      <w:r>
        <w:rPr>
          <w:rFonts w:ascii="宋体" w:cs="宋体" w:eastAsia="宋体" w:hAnsi="宋体" w:hint="default"/>
          <w:sz w:val="24"/>
          <w:szCs w:val="24"/>
          <w:u w:val="single"/>
          <w:lang w:val="en-US" w:eastAsia="zh-CN"/>
        </w:rPr>
        <w:t>26</w:t>
      </w:r>
      <w:r>
        <w:rPr>
          <w:rFonts w:ascii="宋体" w:cs="宋体" w:eastAsia="宋体" w:hAnsi="宋体" w:hint="eastAsia"/>
          <w:sz w:val="24"/>
          <w:szCs w:val="24"/>
          <w:u w:val="none"/>
          <w:lang w:val="en-US" w:eastAsia="zh-CN"/>
        </w:rPr>
        <w:t xml:space="preserve">日 </w:t>
      </w:r>
    </w:p>
    <w:sectPr>
      <w:footerReference w:type="default" r:id="rId3"/>
      <w:type w:val="continuous"/>
      <w:pgSz w:w="12240" w:h="20160" w:orient="portrait"/>
      <w:pgMar w:top="1814" w:right="1474" w:bottom="1757" w:left="1474" w:header="850" w:footer="992" w:gutter="0"/>
      <w:pgNumType w:fmt="decimal"/>
      <w:cols w:space="720" w:num="1"/>
      <w:rtlGutter w:val="false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方正小标宋简体"/>
    <w:panose1 w:val="02010601030000010101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仿宋"/>
    <w:panose1 w:val="02010609030000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000010101"/>
    <w:charset w:val="86"/>
    <w:family w:val="auto"/>
    <w:pitch w:val="default"/>
    <w:sig w:usb0="00000001" w:usb1="080E0000" w:usb2="00000000" w:usb3="00000000" w:csb0="00040000" w:csb1="00000000"/>
  </w:font>
  <w:font w:name="方正小标宋_GBK">
    <w:altName w:val="方正小标宋_GBK"/>
    <w:panose1 w:val="02000000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方正楷体_GBK"/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altName w:val="方正黑体_GBK"/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altName w:val="仿宋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长城小标宋体">
    <w:altName w:val="方正小标宋_GBK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宋体"/>
    <w:panose1 w:val="02010600040000010101"/>
    <w:charset w:val="00"/>
    <w:family w:val="auto"/>
    <w:pitch w:val="default"/>
    <w:sig w:usb0="00000000" w:usb1="00000000" w:usb2="00000000" w:usb3="00000000" w:csb0="0004009F" w:csb1="DFD70000"/>
  </w:font>
  <w:font w:name="楷体">
    <w:altName w:val="楷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Microsoft YaHe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 w14:paraId="26C4B468">
    <w:pPr>
      <w:pStyle w:val="style32"/>
      <w:rPr/>
    </w:pPr>
    <w:r>
      <w:rPr>
        <w:sz w:val="18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97" name="文本框 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828800" cy="1828800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 w14:paraId="653CFF51">
                          <w:pPr>
                            <w:pStyle w:val="style32"/>
                            <w:rPr/>
                          </w:pPr>
                          <w:r>
                            <w:t xml:space="preserve">— </w:t>
                          </w:r>
                          <w:r>
                            <w:rPr/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lIns="0" rIns="0" tIns="0" bIns="0" vert="horz" anchor="t" wrap="none" upright="false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4097" filled="f" stroked="f" style="position:absolute;margin-left:0.0pt;margin-top:0.0pt;width:144.0pt;height:144.0pt;z-index:2;mso-position-horizontal:center;mso-position-horizontal-relative:margin;mso-position-vertical-relative:text;mso-width-relative:page;mso-height-relative:page;mso-wrap-distance-left:0.0pt;mso-wrap-distance-right:0.0pt;visibility:visible;mso-wrap-style:none;">
              <v:stroke on="f"/>
              <v:fill/>
              <v:textbox inset="0.0pt,0.0pt,0.0pt,0.0pt" style="mso-fit-shape-to-text:true;">
                <w:txbxContent>
                  <w:p w14:paraId="653CFF51">
                    <w:pPr>
                      <w:pStyle w:val="style32"/>
                      <w:rPr/>
                    </w:pPr>
                    <w:r>
                      <w:t xml:space="preserve">— </w:t>
                    </w:r>
                    <w:r>
                      <w:rPr/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rPr/>
                      <w:fldChar w:fldCharType="separate"/>
                    </w:r>
                    <w:r>
                      <w:t>1</w:t>
                    </w:r>
                    <w:r>
                      <w:rPr/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CB9E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E4828551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22DD6A06"/>
    <w:lvl w:ilvl="0" w:tplc="0409000F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3"/>
    <w:multiLevelType w:val="hybridMultilevel"/>
    <w:tmpl w:val="82C1D068"/>
    <w:lvl w:ilvl="0" w:tplc="0409000F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0000004"/>
    <w:multiLevelType w:val="hybridMultilevel"/>
    <w:tmpl w:val="A3CA0DB5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5"/>
    <w:multiLevelType w:val="hybridMultilevel"/>
    <w:tmpl w:val="CF22DD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6"/>
    <w:multiLevelType w:val="hybridMultilevel"/>
    <w:tmpl w:val="1382A0F7"/>
    <w:lvl w:ilvl="0" w:tplc="0409000F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00000007"/>
    <w:multiLevelType w:val="hybridMultilevel"/>
    <w:tmpl w:val="351013FE"/>
    <w:lvl w:ilvl="0" w:tplc="0409000F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00000008"/>
    <w:multiLevelType w:val="hybridMultilevel"/>
    <w:tmpl w:val="443BAFD9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0000009"/>
    <w:multiLevelType w:val="hybridMultilevel"/>
    <w:tmpl w:val="72CE2363"/>
    <w:lvl w:ilvl="0" w:tplc="0409000F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0000000A"/>
    <w:multiLevelType w:val="hybridMultilevel"/>
    <w:tmpl w:val="604DF695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0B"/>
    <w:multiLevelType w:val="hybridMultilevel"/>
    <w:tmpl w:val="7941C837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0000000C"/>
    <w:multiLevelType w:val="hybridMultilevel"/>
    <w:tmpl w:val="1207A5CD"/>
    <w:lvl w:ilvl="0" w:tplc="0409000F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0000000D"/>
    <w:multiLevelType w:val="hybridMultilevel"/>
    <w:tmpl w:val="91C0F3BB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0000000E"/>
    <w:multiLevelType w:val="hybridMultilevel"/>
    <w:tmpl w:val="8BA55EE6"/>
    <w:lvl w:ilvl="0" w:tplc="0409000F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0000000F"/>
    <w:multiLevelType w:val="hybridMultilevel"/>
    <w:tmpl w:val="8438030B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00000010"/>
    <w:multiLevelType w:val="hybridMultilevel"/>
    <w:tmpl w:val="F61B40A7"/>
    <w:lvl w:ilvl="0" w:tplc="0409000F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00000011"/>
    <w:multiLevelType w:val="hybridMultilevel"/>
    <w:tmpl w:val="14FCBA79"/>
    <w:lvl w:ilvl="0" w:tplc="0409000F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00000012"/>
    <w:multiLevelType w:val="hybridMultilevel"/>
    <w:tmpl w:val="962E6B3F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0000013"/>
    <w:multiLevelType w:val="hybridMultilevel"/>
    <w:tmpl w:val="696CE6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00000014"/>
    <w:multiLevelType w:val="hybridMultilevel"/>
    <w:tmpl w:val="2A09579F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0000015"/>
    <w:multiLevelType w:val="hybridMultilevel"/>
    <w:tmpl w:val="2D65126B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00000016"/>
    <w:multiLevelType w:val="hybridMultilevel"/>
    <w:tmpl w:val="818047DD"/>
    <w:lvl w:ilvl="0" w:tplc="0409000F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00000017"/>
    <w:multiLevelType w:val="hybridMultilevel"/>
    <w:tmpl w:val="CB56EAA9"/>
    <w:lvl w:ilvl="0" w:tplc="0409000F">
      <w:start w:val="3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00000018"/>
    <w:multiLevelType w:val="hybridMultilevel"/>
    <w:tmpl w:val="9A9764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00000019"/>
    <w:multiLevelType w:val="hybridMultilevel"/>
    <w:tmpl w:val="89F12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000001A"/>
    <w:multiLevelType w:val="hybridMultilevel"/>
    <w:tmpl w:val="EEBAF9CE"/>
    <w:lvl w:ilvl="0" w:tplc="0409000F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0000001B"/>
    <w:multiLevelType w:val="hybridMultilevel"/>
    <w:tmpl w:val="096DF225"/>
    <w:lvl w:ilvl="0" w:tplc="0409000F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0000001C"/>
    <w:multiLevelType w:val="hybridMultilevel"/>
    <w:tmpl w:val="E46D32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0000001D"/>
    <w:multiLevelType w:val="hybridMultilevel"/>
    <w:tmpl w:val="547BF723"/>
    <w:lvl w:ilvl="0" w:tplc="0409000F">
      <w:start w:val="1"/>
      <w:numFmt w:val="upperLetter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4"/>
  </w:num>
  <w:num w:numId="8">
    <w:abstractNumId w:val="5"/>
  </w:num>
  <w:num w:numId="9">
    <w:abstractNumId w:val="6"/>
  </w:num>
  <w:num w:numId="10">
    <w:abstractNumId w:val="6"/>
  </w:num>
  <w:num w:numId="11">
    <w:abstractNumId w:val="7"/>
  </w:num>
  <w:num w:numId="12">
    <w:abstractNumId w:val="7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2"/>
  </w:num>
  <w:num w:numId="18">
    <w:abstractNumId w:val="12"/>
  </w:num>
  <w:num w:numId="19">
    <w:abstractNumId w:val="13"/>
  </w:num>
  <w:num w:numId="20">
    <w:abstractNumId w:val="14"/>
  </w:num>
  <w:num w:numId="21">
    <w:abstractNumId w:val="15"/>
  </w:num>
  <w:num w:numId="22">
    <w:abstractNumId w:val="16"/>
  </w:num>
  <w:num w:numId="23">
    <w:abstractNumId w:val="16"/>
  </w:num>
  <w:num w:numId="24">
    <w:abstractNumId w:val="17"/>
  </w:num>
  <w:num w:numId="25">
    <w:abstractNumId w:val="17"/>
  </w:num>
  <w:num w:numId="26">
    <w:abstractNumId w:val="18"/>
  </w:num>
  <w:num w:numId="27">
    <w:abstractNumId w:val="19"/>
  </w:num>
  <w:num w:numId="28">
    <w:abstractNumId w:val="20"/>
  </w:num>
  <w:num w:numId="29">
    <w:abstractNumId w:val="20"/>
  </w:num>
  <w:num w:numId="30">
    <w:abstractNumId w:val="21"/>
  </w:num>
  <w:num w:numId="31">
    <w:abstractNumId w:val="21"/>
  </w:num>
  <w:num w:numId="32">
    <w:abstractNumId w:val="22"/>
  </w:num>
  <w:num w:numId="33">
    <w:abstractNumId w:val="23"/>
  </w:num>
  <w:num w:numId="34">
    <w:abstractNumId w:val="23"/>
  </w:num>
  <w:num w:numId="35">
    <w:abstractNumId w:val="24"/>
  </w:num>
  <w:num w:numId="36">
    <w:abstractNumId w:val="24"/>
  </w:num>
  <w:num w:numId="37">
    <w:abstractNumId w:val="25"/>
  </w:num>
  <w:num w:numId="38">
    <w:abstractNumId w:val="25"/>
  </w:num>
  <w:num w:numId="39">
    <w:abstractNumId w:val="26"/>
  </w:num>
  <w:num w:numId="40">
    <w:abstractNumId w:val="26"/>
  </w:num>
  <w:num w:numId="41">
    <w:abstractNumId w:val="27"/>
  </w:num>
  <w:num w:numId="42">
    <w:abstractNumId w:val="28"/>
  </w:num>
  <w:num w:numId="43">
    <w:abstractNumId w:val="29"/>
  </w:num>
  <w:num w:numId="44">
    <w:abstractNumId w:val="2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2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Times New Roman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0"/>
    <w:pPr>
      <w:widowControl w:val="false"/>
      <w:jc w:val="both"/>
    </w:pPr>
    <w:rPr>
      <w:rFonts w:ascii="Calibri" w:cs="Times New Roman" w:eastAsia="宋体" w:hAnsi="Calibri"/>
      <w:kern w:val="2"/>
      <w:sz w:val="21"/>
      <w:szCs w:val="24"/>
      <w:lang w:val="en-US" w:bidi="ar-SA" w:eastAsia="zh-CN"/>
    </w:r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uiPriority w:val="0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  <w:spacing w:lineRule="auto" w:line="240"/>
      <w:jc w:val="both"/>
      <w:outlineLvl w:val="9"/>
    </w:pPr>
    <w:rPr>
      <w:sz w:val="18"/>
    </w:rPr>
  </w:style>
  <w:style w:type="paragraph" w:styleId="style179">
    <w:name w:val="List Paragraph"/>
    <w:basedOn w:val="style0"/>
    <w:next w:val="style179"/>
    <w:qFormat/>
    <w:pPr>
      <w:kinsoku w:val="false"/>
      <w:autoSpaceDE w:val="false"/>
      <w:autoSpaceDN w:val="false"/>
      <w:adjustRightInd w:val="false"/>
      <w:spacing w:after="0" w:lineRule="auto" w:line="240"/>
      <w:ind w:firstLine="420" w:firstLineChars="200"/>
      <w:jc w:val="left"/>
    </w:pPr>
    <w:rPr>
      <w:rFonts w:ascii="Times New Roman" w:cs="Times New Roman" w:eastAsia="宋体" w:hAnsi="Times New Roman"/>
      <w:noProof/>
      <w:snapToGrid w:val="false"/>
      <w:color w:val="000000"/>
      <w:kern w:val="0"/>
      <w:sz w:val="21"/>
    </w:rPr>
  </w:style>
  <w:style w:type="character" w:styleId="style85">
    <w:name w:val="Hyperlink"/>
    <w:basedOn w:val="style65"/>
    <w:next w:val="style85"/>
    <w:rPr>
      <w:rFonts w:ascii="Times New Roman" w:cs="Times New Roman" w:eastAsia="宋体" w:hAnsi="Times New Roman"/>
      <w:color w:val="0000ff"/>
      <w:sz w:val="21"/>
      <w:u w:val="single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1405</Words>
  <Pages>30</Pages>
  <Characters>1537</Characters>
  <Application>WPS Office</Application>
  <DocSecurity>0</DocSecurity>
  <Paragraphs>55</Paragraphs>
  <ScaleCrop>false</ScaleCrop>
  <LinksUpToDate>false</LinksUpToDate>
  <CharactersWithSpaces>1623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2014-11-07T20:08:00Z</dcterms:created>
  <dc:creator>Administrator</dc:creator>
  <lastModifiedBy>2312DRA50C</lastModifiedBy>
  <lastPrinted>2025-06-01T09:30:57Z</lastPrinted>
  <dcterms:modified xsi:type="dcterms:W3CDTF">2025-09-26T06:50:27Z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baaf80ccc73f470aaca048c8fb8589e9_23</vt:lpwstr>
  </property>
</Properties>
</file>