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14:paraId="B7819A17">
      <w:pPr>
        <w:pStyle w:val="style0"/>
        <w:jc w:val="center"/>
        <w:rPr>
          <w:b/>
          <w:bCs/>
          <w:sz w:val="44"/>
          <w:szCs w:val="44"/>
        </w:rPr>
      </w:pPr>
      <w:r>
        <w:rPr>
          <w:b/>
          <w:bCs/>
          <w:sz w:val="44"/>
          <w:szCs w:val="44"/>
        </w:rPr>
        <w:t>民事起诉状</w:t>
      </w:r>
    </w:p>
    <w:p w14:paraId="2807BCB6">
      <w:pPr>
        <w:pStyle w:val="style0"/>
        <w:rPr/>
      </w:pPr>
    </w:p>
    <w:p w14:paraId="2E117F5B">
      <w:pPr>
        <w:spacing w:lineRule="auto" w:line="24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起诉人</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何义军, 男, 汉族, 身份证号431126198402221233, 北京物资学院本科, </w:t>
      </w:r>
    </w:p>
    <w:p w14:paraId="B7947A94">
      <w:pPr>
        <w:spacing w:lineRule="auto" w:line="240"/>
        <w:ind w:left="210" w:leftChars="0"/>
        <w:jc w:val="both"/>
        <w:rPr>
          <w:rFonts w:ascii="宋体" w:eastAsia="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团员, 住四川省成都市高新区天府大道北段18号附10号, 电话19250199051</w:t>
      </w:r>
    </w:p>
    <w:p w14:paraId="A5E4BEEA">
      <w:pPr>
        <w:pStyle w:val="style0"/>
        <w:rPr>
          <w:rFonts w:ascii="宋体" w:eastAsia="宋体"/>
          <w:b/>
          <w:bCs/>
          <w:sz w:val="24"/>
          <w:szCs w:val="24"/>
        </w:rPr>
      </w:pPr>
      <w:r>
        <w:rPr>
          <w:rFonts w:ascii="宋体" w:eastAsia="宋体"/>
          <w:b/>
          <w:bCs/>
          <w:sz w:val="24"/>
          <w:szCs w:val="24"/>
        </w:rPr>
        <w:t>被告</w:t>
      </w:r>
      <w:r>
        <w:rPr>
          <w:sz w:val="24"/>
          <w:szCs w:val="24"/>
        </w:rPr>
        <w:t>：</w:t>
      </w:r>
      <w:r>
        <w:rPr>
          <w:rFonts w:ascii="宋体" w:eastAsia="宋体" w:hAnsi="宋体"/>
          <w:sz w:val="24"/>
          <w:szCs w:val="24"/>
        </w:rPr>
        <w:t>中国人寿财产保险股份有限公司上海市分公司</w:t>
      </w:r>
      <w:r>
        <w:rPr>
          <w:sz w:val="24"/>
          <w:szCs w:val="24"/>
        </w:rPr>
        <w:t>，</w:t>
      </w:r>
      <w:r>
        <w:rPr>
          <w:rFonts w:ascii="宋体" w:eastAsia="宋体" w:hAnsi="宋体"/>
          <w:sz w:val="24"/>
          <w:szCs w:val="24"/>
        </w:rPr>
        <w:t>法人代表</w:t>
      </w:r>
      <w:r>
        <w:rPr>
          <w:rFonts w:hint="eastAsia"/>
          <w:sz w:val="24"/>
          <w:szCs w:val="24"/>
        </w:rPr>
        <w:t>“</w:t>
      </w:r>
      <w:r>
        <w:rPr>
          <w:rFonts w:ascii="宋体" w:eastAsia="宋体" w:hAnsi="宋体" w:hint="eastAsia"/>
          <w:sz w:val="24"/>
          <w:szCs w:val="24"/>
        </w:rPr>
        <w:t>杨楠</w:t>
      </w:r>
      <w:r>
        <w:rPr>
          <w:rFonts w:hint="eastAsia"/>
          <w:sz w:val="24"/>
          <w:szCs w:val="24"/>
        </w:rPr>
        <w:t>”</w:t>
      </w:r>
      <w:r>
        <w:rPr>
          <w:sz w:val="24"/>
          <w:szCs w:val="24"/>
        </w:rPr>
        <w:t>，</w:t>
      </w:r>
      <w:r>
        <w:rPr>
          <w:rFonts w:ascii="宋体" w:eastAsia="宋体" w:hAnsi="宋体" w:hint="eastAsia"/>
          <w:sz w:val="24"/>
          <w:szCs w:val="24"/>
        </w:rPr>
        <w:t xml:space="preserve">统一社会信用代码 </w:t>
      </w:r>
      <w:r>
        <w:rPr>
          <w:rFonts w:hint="eastAsia"/>
          <w:sz w:val="24"/>
          <w:szCs w:val="24"/>
        </w:rPr>
        <w:t>“</w:t>
      </w:r>
      <w:r>
        <w:rPr>
          <w:rFonts w:ascii="宋体" w:eastAsia="宋体" w:hAnsi="宋体" w:hint="eastAsia"/>
          <w:sz w:val="24"/>
          <w:szCs w:val="24"/>
        </w:rPr>
        <w:t>91310000662495655</w:t>
      </w:r>
      <w:r>
        <w:rPr>
          <w:rFonts w:ascii="宋体" w:eastAsia="宋体" w:hAnsi="宋体" w:hint="default"/>
          <w:sz w:val="24"/>
          <w:szCs w:val="24"/>
          <w:lang w:val="en-US"/>
        </w:rPr>
        <w:t>K</w:t>
      </w:r>
      <w:r>
        <w:rPr>
          <w:rFonts w:hint="eastAsia"/>
          <w:sz w:val="24"/>
          <w:szCs w:val="24"/>
        </w:rPr>
        <w:t>”</w:t>
      </w:r>
      <w:r>
        <w:rPr>
          <w:sz w:val="24"/>
          <w:szCs w:val="24"/>
        </w:rPr>
        <w:t>，</w:t>
      </w:r>
      <w:r>
        <w:rPr>
          <w:rFonts w:ascii="宋体" w:eastAsia="宋体" w:hAnsi="宋体"/>
          <w:sz w:val="24"/>
          <w:szCs w:val="24"/>
          <w:lang w:val="en-US"/>
        </w:rPr>
        <w:t>企业类型"股份有限公司分公司(国有控股)",</w:t>
      </w:r>
      <w:r>
        <w:rPr>
          <w:rFonts w:ascii="宋体" w:eastAsia="宋体" w:hAnsi="宋体"/>
          <w:sz w:val="24"/>
          <w:szCs w:val="24"/>
        </w:rPr>
        <w:t>注册地</w:t>
      </w:r>
      <w:r>
        <w:rPr>
          <w:rFonts w:hint="eastAsia"/>
          <w:sz w:val="24"/>
          <w:szCs w:val="24"/>
        </w:rPr>
        <w:t>“</w:t>
      </w:r>
      <w:r>
        <w:rPr>
          <w:rFonts w:ascii="宋体" w:eastAsia="宋体" w:hAnsi="宋体" w:hint="default"/>
          <w:sz w:val="24"/>
          <w:szCs w:val="24"/>
          <w:lang w:val="en-US"/>
        </w:rPr>
        <w:t>中国(上海)自由贸易试验区银城路88号</w:t>
      </w:r>
      <w:r>
        <w:rPr>
          <w:rFonts w:hint="default"/>
          <w:sz w:val="24"/>
          <w:szCs w:val="24"/>
          <w:lang w:val="en-US"/>
        </w:rPr>
        <w:t>（</w:t>
      </w:r>
      <w:r>
        <w:rPr>
          <w:rFonts w:ascii="宋体" w:eastAsia="宋体" w:hAnsi="宋体" w:hint="default"/>
          <w:sz w:val="24"/>
          <w:szCs w:val="24"/>
          <w:lang w:val="en-US"/>
        </w:rPr>
        <w:t>中国人寿金融中心</w:t>
      </w:r>
      <w:r>
        <w:rPr>
          <w:rFonts w:hint="default"/>
          <w:sz w:val="24"/>
          <w:szCs w:val="24"/>
          <w:lang w:val="en-US"/>
        </w:rPr>
        <w:t>）</w:t>
      </w:r>
      <w:r>
        <w:rPr>
          <w:rFonts w:ascii="宋体" w:eastAsia="宋体" w:hAnsi="宋体" w:hint="default"/>
          <w:sz w:val="24"/>
          <w:szCs w:val="24"/>
          <w:lang w:val="en-US"/>
        </w:rPr>
        <w:t>16楼、17楼</w:t>
      </w:r>
      <w:r>
        <w:rPr>
          <w:rFonts w:hint="eastAsia"/>
          <w:sz w:val="24"/>
          <w:szCs w:val="24"/>
        </w:rPr>
        <w:t>”</w:t>
      </w:r>
    </w:p>
    <w:p w14:paraId="7BEE599E">
      <w:pPr>
        <w:pStyle w:val="style0"/>
        <w:spacing w:lineRule="auto" w:line="240"/>
        <w:jc w:val="both"/>
        <w:rPr>
          <w:rFonts w:ascii="宋体" w:eastAsia="宋体"/>
          <w:sz w:val="24"/>
          <w:szCs w:val="24"/>
        </w:rPr>
      </w:pPr>
    </w:p>
    <w:p w14:paraId="D83DF3F4">
      <w:pPr>
        <w:pStyle w:val="style0"/>
        <w:kinsoku w:val="false"/>
        <w:autoSpaceDE w:val="false"/>
        <w:autoSpaceDN w:val="false"/>
        <w:adjustRightInd w:val="false"/>
        <w:snapToGrid w:val="false"/>
        <w:spacing w:before="103" w:lineRule="auto" w:line="180"/>
        <w:jc w:val="left"/>
        <w:textAlignment w:val="baseline"/>
        <w:rPr>
          <w:rFonts w:ascii="宋体" w:eastAsia="宋体"/>
          <w:sz w:val="24"/>
          <w:szCs w:val="24"/>
        </w:rPr>
      </w:pPr>
      <w:r>
        <w:rPr>
          <w:rFonts w:ascii="宋体" w:cs="Times New Roman" w:eastAsia="宋体" w:hAnsi="Times New Roman" w:hint="default"/>
          <w:b/>
          <w:bCs/>
          <w:i w:val="false"/>
          <w:iCs w:val="false"/>
          <w:noProof/>
          <w:snapToGrid w:val="false"/>
          <w:color w:val="auto"/>
          <w:kern w:val="2"/>
          <w:sz w:val="24"/>
          <w:szCs w:val="24"/>
          <w:highlight w:val="none"/>
          <w:vertAlign w:val="baseline"/>
          <w:em w:val="none"/>
          <w:lang w:val="en-US" w:bidi="ar-SA" w:eastAsia="zh-CN"/>
        </w:rPr>
        <w:t>名词解释:</w:t>
      </w:r>
    </w:p>
    <w:p w14:paraId="88B7929B">
      <w:pPr>
        <w:pStyle w:val="style0"/>
        <w:kinsoku w:val="false"/>
        <w:autoSpaceDE w:val="false"/>
        <w:autoSpaceDN w:val="false"/>
        <w:adjustRightInd w:val="false"/>
        <w:snapToGrid w:val="false"/>
        <w:spacing w:before="103" w:lineRule="auto" w:line="180"/>
        <w:jc w:val="left"/>
        <w:textAlignment w:val="baseline"/>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Calibri" w:hint="default"/>
          <w:b/>
          <w:bCs/>
          <w:i w:val="false"/>
          <w:iCs w:val="false"/>
          <w:color w:val="auto"/>
          <w:kern w:val="2"/>
          <w:sz w:val="24"/>
          <w:szCs w:val="24"/>
          <w:highlight w:val="none"/>
          <w:vertAlign w:val="baseline"/>
          <w:em w:val="none"/>
          <w:lang w:val="en-US" w:bidi="ar-SA" w:eastAsia="zh-CN"/>
        </w:rPr>
        <w:t xml:space="preserve">  人寿财险</w:t>
      </w:r>
      <w:r>
        <w:rPr>
          <w:rFonts w:ascii="宋体" w:cs="Times New Roman" w:eastAsia="宋体" w:hAnsi="Calibri" w:hint="default"/>
          <w:b w:val="false"/>
          <w:bCs w:val="false"/>
          <w:i w:val="false"/>
          <w:iCs w:val="false"/>
          <w:color w:val="auto"/>
          <w:kern w:val="2"/>
          <w:sz w:val="24"/>
          <w:szCs w:val="24"/>
          <w:highlight w:val="none"/>
          <w:vertAlign w:val="baseline"/>
          <w:em w:val="none"/>
          <w:lang w:val="en-US" w:bidi="ar-SA" w:eastAsia="zh-CN"/>
        </w:rPr>
        <w:t>: 全称"</w:t>
      </w:r>
      <w:r>
        <w:rPr>
          <w:rFonts w:ascii="宋体"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中国人寿财产保险股份有限公司上海市分公司</w:t>
      </w:r>
      <w:r>
        <w:rPr>
          <w:rFonts w:ascii="宋体" w:cs="Times New Roman" w:eastAsia="宋体" w:hAnsi="Calibri" w:hint="default"/>
          <w:b w:val="false"/>
          <w:bCs w:val="false"/>
          <w:i w:val="false"/>
          <w:iCs w:val="false"/>
          <w:color w:val="auto"/>
          <w:kern w:val="2"/>
          <w:sz w:val="24"/>
          <w:szCs w:val="24"/>
          <w:highlight w:val="none"/>
          <w:vertAlign w:val="baseline"/>
          <w:em w:val="none"/>
          <w:lang w:val="en-US" w:bidi="ar-SA" w:eastAsia="zh-CN"/>
        </w:rPr>
        <w:t>"</w:t>
      </w: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w:t>
      </w:r>
    </w:p>
    <w:p w14:paraId="EFDA78F9">
      <w:pPr>
        <w:pStyle w:val="style0"/>
        <w:kinsoku w:val="false"/>
        <w:autoSpaceDE w:val="false"/>
        <w:autoSpaceDN w:val="false"/>
        <w:adjustRightInd w:val="false"/>
        <w:snapToGrid w:val="false"/>
        <w:spacing w:before="103" w:lineRule="auto" w:line="180"/>
        <w:jc w:val="left"/>
        <w:textAlignment w:val="baseline"/>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w:t>
      </w: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拼多多</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"上海寻梦信息技术有限公司",统一社会信用码</w:t>
      </w: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91310105090037252C</w:t>
      </w: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w:t>
      </w:r>
    </w:p>
    <w:p w14:paraId="699C1167">
      <w:pPr>
        <w:pStyle w:val="style0"/>
        <w:kinsoku w:val="false"/>
        <w:autoSpaceDE w:val="false"/>
        <w:autoSpaceDN w:val="false"/>
        <w:adjustRightInd w:val="false"/>
        <w:snapToGrid w:val="false"/>
        <w:spacing w:before="103" w:lineRule="auto" w:line="180"/>
        <w:ind w:left="1050" w:leftChars="0"/>
        <w:jc w:val="left"/>
        <w:textAlignment w:val="baseline"/>
        <w:rPr>
          <w:rFonts w:ascii="宋体" w:cs="Times New Roman" w:eastAsia="宋体" w:hAnsi="Calibri"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美国上市公司(PDD Holdings Inc.)</w:t>
      </w:r>
      <w:r>
        <w:rPr>
          <w:rFonts w:ascii="Calibri" w:cs="Times New Roman" w:eastAsia="宋体" w:hAnsi="Calibri"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Calibri" w:hint="default"/>
          <w:b w:val="false"/>
          <w:bCs w:val="false"/>
          <w:i w:val="false"/>
          <w:iCs w:val="false"/>
          <w:color w:val="auto"/>
          <w:kern w:val="2"/>
          <w:sz w:val="24"/>
          <w:szCs w:val="24"/>
          <w:highlight w:val="none"/>
          <w:vertAlign w:val="baseline"/>
          <w:em w:val="none"/>
          <w:lang w:val="en-US" w:bidi="ar-SA" w:eastAsia="zh-CN"/>
        </w:rPr>
        <w:t>中国最大综合互联网电商平台之一。</w:t>
      </w:r>
    </w:p>
    <w:p w14:paraId="ABA58E9E">
      <w:pPr>
        <w:pStyle w:val="style0"/>
        <w:kinsoku w:val="false"/>
        <w:autoSpaceDE w:val="false"/>
        <w:autoSpaceDN w:val="false"/>
        <w:adjustRightInd w:val="false"/>
        <w:snapToGrid w:val="false"/>
        <w:spacing w:before="103" w:lineRule="auto" w:line="180"/>
        <w:ind w:left="210" w:leftChars="0"/>
        <w:jc w:val="left"/>
        <w:textAlignment w:val="baseline"/>
        <w:rPr>
          <w:rFonts w:ascii="宋体" w:eastAsia="宋体"/>
          <w:sz w:val="24"/>
          <w:szCs w:val="24"/>
          <w:lang w:val="en-US"/>
        </w:rPr>
      </w:pPr>
      <w:r>
        <w:rPr>
          <w:rFonts w:ascii="宋体" w:eastAsia="宋体"/>
          <w:b/>
          <w:bCs/>
          <w:sz w:val="24"/>
          <w:szCs w:val="24"/>
          <w:lang w:val="en-US"/>
        </w:rPr>
        <w:t>浦东法院</w:t>
      </w:r>
      <w:r>
        <w:rPr>
          <w:rFonts w:ascii="宋体" w:eastAsia="宋体"/>
          <w:sz w:val="24"/>
          <w:szCs w:val="24"/>
          <w:lang w:val="en-US"/>
        </w:rPr>
        <w:t>: "上海市浦东新区人民法院"。人寿财险的管辖地法院。</w:t>
      </w:r>
    </w:p>
    <w:p w14:paraId="3EAFA23A">
      <w:pPr>
        <w:pStyle w:val="style0"/>
        <w:kinsoku w:val="false"/>
        <w:autoSpaceDE w:val="false"/>
        <w:autoSpaceDN w:val="false"/>
        <w:adjustRightInd w:val="false"/>
        <w:snapToGrid w:val="false"/>
        <w:spacing w:before="103" w:lineRule="auto" w:line="180"/>
        <w:jc w:val="left"/>
        <w:textAlignment w:val="baseline"/>
        <w:rPr>
          <w:rFonts w:ascii="宋体" w:eastAsia="宋体"/>
          <w:sz w:val="24"/>
          <w:szCs w:val="24"/>
        </w:rPr>
      </w:pPr>
    </w:p>
    <w:p w14:paraId="B256903A">
      <w:pPr>
        <w:pStyle w:val="style0"/>
        <w:spacing w:lineRule="auto" w:line="240"/>
        <w:jc w:val="both"/>
        <w:rPr>
          <w:rFonts w:ascii="宋体" w:eastAsia="宋体"/>
          <w:sz w:val="24"/>
          <w:szCs w:val="24"/>
        </w:rPr>
      </w:pPr>
      <w:r>
        <w:rPr>
          <w:rFonts w:ascii="宋体" w:cs="Times New Roman" w:eastAsia="宋体" w:hAnsi="Times New Roman" w:hint="default"/>
          <w:b/>
          <w:bCs/>
          <w:i w:val="false"/>
          <w:iCs w:val="false"/>
          <w:color w:val="auto"/>
          <w:kern w:val="2"/>
          <w:sz w:val="24"/>
          <w:szCs w:val="24"/>
          <w:highlight w:val="none"/>
          <w:vertAlign w:val="baseline"/>
          <w:em w:val="none"/>
          <w:lang w:val="en-US" w:bidi="ar-SA" w:eastAsia="zh-CN"/>
        </w:rPr>
        <w:t>起诉请求</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bookmarkStart w:id="0" w:name="_GoBack"/>
      <w:bookmarkEnd w:id="0"/>
    </w:p>
    <w:p w14:paraId="18E1950B">
      <w:pPr>
        <w:pStyle w:val="style179"/>
        <w:numPr>
          <w:ilvl w:val="0"/>
          <w:numId w:val="1"/>
        </w:numPr>
        <w:spacing w:lineRule="auto" w:line="240"/>
        <w:ind w:firstLineChars="0"/>
        <w:jc w:val="both"/>
        <w:rPr>
          <w:rFonts w:ascii="宋体" w:eastAsia="宋体"/>
          <w:sz w:val="24"/>
          <w:szCs w:val="24"/>
        </w:rPr>
      </w:pPr>
      <w:r>
        <w:rPr>
          <w:rFonts w:ascii="宋体"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被告支付"损失赔偿金(起诉期+审理期)"人民币</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10962000</w:t>
      </w:r>
      <w:r>
        <w:rPr>
          <w:rFonts w:ascii="宋体"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元人民币。</w:t>
      </w:r>
    </w:p>
    <w:p w14:paraId="DDBC0258">
      <w:pPr>
        <w:pStyle w:val="style179"/>
        <w:numPr>
          <w:ilvl w:val="0"/>
          <w:numId w:val="1"/>
        </w:numPr>
        <w:spacing w:lineRule="auto" w:line="240"/>
        <w:ind w:firstLineChars="0"/>
        <w:jc w:val="both"/>
        <w:rPr>
          <w:rFonts w:ascii="宋体" w:eastAsia="宋体"/>
          <w:sz w:val="24"/>
          <w:szCs w:val="24"/>
        </w:rPr>
      </w:pPr>
      <w:r>
        <w:rPr>
          <w:rFonts w:ascii="宋体"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被告承担因本案造成的其它成本和费用(例如律师费、诉讼费交通费等)。</w:t>
      </w:r>
    </w:p>
    <w:p w14:paraId="84A7861E">
      <w:pPr>
        <w:pStyle w:val="style179"/>
        <w:numPr>
          <w:ilvl w:val="0"/>
          <w:numId w:val="1"/>
        </w:numPr>
        <w:spacing w:lineRule="auto" w:line="240"/>
        <w:ind w:firstLineChars="0"/>
        <w:jc w:val="both"/>
        <w:rPr>
          <w:rFonts w:ascii="宋体" w:eastAsia="宋体"/>
          <w:sz w:val="24"/>
          <w:szCs w:val="24"/>
        </w:rPr>
      </w:pPr>
      <w:r>
        <w:rPr>
          <w:rFonts w:ascii="宋体"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原告保留已诉请之外的其他所有权利。</w:t>
      </w:r>
    </w:p>
    <w:p w14:paraId="8F3607F8">
      <w:pPr>
        <w:pStyle w:val="style179"/>
        <w:numPr>
          <w:ilvl w:val="0"/>
          <w:numId w:val="1"/>
        </w:numPr>
        <w:spacing w:lineRule="auto" w:line="240"/>
        <w:ind w:firstLineChars="0"/>
        <w:jc w:val="both"/>
        <w:rPr>
          <w:rFonts w:ascii="宋体" w:eastAsia="宋体" w:hAnsi="宋体"/>
          <w:sz w:val="24"/>
          <w:szCs w:val="24"/>
        </w:rPr>
      </w:pPr>
      <w:r>
        <w:rPr>
          <w:rFonts w:ascii="宋体" w:eastAsia="宋体"/>
          <w:sz w:val="24"/>
          <w:szCs w:val="24"/>
          <w:lang w:val="en-US"/>
        </w:rPr>
        <w:t>被告撤销无效保险合同</w:t>
      </w:r>
      <w:r>
        <w:rPr>
          <w:sz w:val="24"/>
          <w:szCs w:val="24"/>
          <w:lang w:val="en-US"/>
        </w:rPr>
        <w:t>，</w:t>
      </w:r>
      <w:r>
        <w:rPr>
          <w:rFonts w:ascii="宋体" w:eastAsia="宋体" w:hAnsi="宋体"/>
          <w:sz w:val="24"/>
          <w:szCs w:val="24"/>
          <w:lang w:val="en-US"/>
        </w:rPr>
        <w:t>停止欺骗交易行为。依法公开。</w:t>
      </w:r>
    </w:p>
    <w:p w14:paraId="6D3899A4">
      <w:pPr>
        <w:pStyle w:val="style0"/>
        <w:spacing w:lineRule="auto" w:line="240"/>
        <w:jc w:val="both"/>
        <w:rPr>
          <w:rFonts w:ascii="宋体" w:eastAsia="宋体" w:hAnsi="宋体"/>
          <w:sz w:val="24"/>
          <w:szCs w:val="24"/>
        </w:rPr>
      </w:pPr>
    </w:p>
    <w:p w14:paraId="41C1F226">
      <w:pPr>
        <w:pStyle w:val="style0"/>
        <w:spacing w:lineRule="auto" w:line="240"/>
        <w:jc w:val="both"/>
        <w:rPr>
          <w:rFonts w:ascii="宋体" w:eastAsia="宋体" w:hAnsi="宋体"/>
          <w:sz w:val="24"/>
          <w:szCs w:val="24"/>
        </w:rPr>
      </w:pPr>
      <w:r>
        <w:rPr>
          <w:rFonts w:ascii="宋体" w:eastAsia="宋体" w:hAnsi="宋体"/>
          <w:b/>
          <w:bCs/>
          <w:sz w:val="24"/>
          <w:szCs w:val="24"/>
          <w:lang w:val="en-US"/>
        </w:rPr>
        <w:t>适用法律法规的条款项目</w:t>
      </w:r>
      <w:r>
        <w:rPr>
          <w:rFonts w:ascii="宋体" w:eastAsia="宋体" w:hAnsi="宋体"/>
          <w:sz w:val="24"/>
          <w:szCs w:val="24"/>
          <w:lang w:val="en-US"/>
        </w:rPr>
        <w:t>:</w:t>
      </w:r>
    </w:p>
    <w:p w14:paraId="4567B0B2">
      <w:pPr>
        <w:pStyle w:val="style0"/>
        <w:spacing w:lineRule="auto" w:line="24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《民法典》</w:t>
      </w:r>
    </w:p>
    <w:p w14:paraId="E117FF6F">
      <w:pPr>
        <w:pStyle w:val="style0"/>
        <w:spacing w:lineRule="auto" w:line="24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第一百四十八条、第一百四十九条、第一百五十四条</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串通的虚假"正品保险"无效。</w:t>
      </w:r>
    </w:p>
    <w:p w14:paraId="42442D4F">
      <w:pPr>
        <w:pStyle w:val="style0"/>
        <w:spacing w:lineRule="auto" w:line="240"/>
        <w:ind w:left="210" w:left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第一百八十六条</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  </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被告违约不赔付</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损害原告财产权益承担侵权责任。</w:t>
      </w:r>
    </w:p>
    <w:p w14:paraId="1061AE16">
      <w:pPr>
        <w:pStyle w:val="style0"/>
        <w:spacing w:lineRule="auto" w:line="24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第四百九十七条第二和第三款</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不当格式条款无效。</w:t>
      </w:r>
    </w:p>
    <w:p w14:paraId="119CB53D">
      <w:pPr>
        <w:pStyle w:val="style0"/>
        <w:spacing w:lineRule="auto" w:line="240"/>
        <w:ind w:left="210" w:left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第四百九十八条</w:t>
      </w:r>
      <w:r>
        <w:rPr>
          <w:rFonts w:ascii="宋体" w:cs="Times New Roman" w:eastAsia="宋体" w:hAnsi="宋体" w:hint="default"/>
          <w:b w:val="false"/>
          <w:bCs w:val="false"/>
          <w:i w:val="false"/>
          <w:iCs w:val="false"/>
          <w:color w:val="auto"/>
          <w:kern w:val="2"/>
          <w:sz w:val="24"/>
          <w:szCs w:val="24"/>
          <w:highlight w:val="none"/>
          <w:u w:val="none"/>
          <w:vertAlign w:val="baseline"/>
          <w:em w:val="none"/>
          <w:lang w:val="en-US" w:bidi="ar-SA" w:eastAsia="zh-CN"/>
        </w:rPr>
        <w:t xml:space="preserve"> </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格式条款理解争议</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保护提供格式条款一方的相对方。</w:t>
      </w:r>
    </w:p>
    <w:p w14:paraId="78743ECD">
      <w:pPr>
        <w:pStyle w:val="style0"/>
        <w:spacing w:lineRule="auto" w:line="240"/>
        <w:ind w:left="210" w:left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第五百条第二和第三款、第一百五十七条</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虚假保险造成对方损失应当赔偿。</w:t>
      </w:r>
    </w:p>
    <w:p w14:paraId="DA05D749">
      <w:pPr>
        <w:pStyle w:val="style0"/>
        <w:spacing w:lineRule="auto" w:line="24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《保险法》</w:t>
      </w:r>
    </w:p>
    <w:p w14:paraId="DCDDBD86">
      <w:pPr>
        <w:pStyle w:val="style0"/>
        <w:spacing w:lineRule="auto" w:line="240"/>
        <w:ind w:left="210" w:left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第四条</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保险活动必须尊重社会公德</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不得损害社会公共利益。</w:t>
      </w:r>
    </w:p>
    <w:p w14:paraId="690E8CE1">
      <w:pPr>
        <w:pStyle w:val="style0"/>
        <w:spacing w:lineRule="auto" w:line="240"/>
        <w:ind w:left="210" w:left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第十一条</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订立保险合同应当遵循公平原则确定各方的权利和义务。</w:t>
      </w:r>
    </w:p>
    <w:p w14:paraId="7B506090">
      <w:pPr>
        <w:pStyle w:val="style0"/>
        <w:spacing w:lineRule="auto" w:line="240"/>
        <w:ind w:left="210" w:left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第十二条第二款</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财险的被保险人在保险事故发生时</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对保险标的没有保险利益。</w:t>
      </w:r>
    </w:p>
    <w:p w14:paraId="811AB5D9">
      <w:pPr>
        <w:pStyle w:val="style0"/>
        <w:spacing w:lineRule="auto" w:line="240"/>
        <w:ind w:left="210" w:left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第十九条第一款和第二款</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不当格式条款无效。</w:t>
      </w:r>
    </w:p>
    <w:p w14:paraId="FEF64265">
      <w:pPr>
        <w:pStyle w:val="style0"/>
        <w:spacing w:lineRule="auto" w:line="240"/>
        <w:ind w:left="210" w:left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u w:val="single" w:color="auto"/>
          <w:vertAlign w:val="baseline"/>
          <w:em w:val="none"/>
          <w:lang w:val="en-US" w:bidi="ar-SA" w:eastAsia="zh-CN"/>
        </w:rPr>
        <w:t>第三十条</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格式条款理解争议</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保护提供格式条款一方的相对方。</w:t>
      </w:r>
    </w:p>
    <w:p w14:paraId="E19123E2">
      <w:pPr>
        <w:pStyle w:val="style0"/>
        <w:spacing w:lineRule="auto" w:line="240"/>
        <w:jc w:val="both"/>
        <w:rPr>
          <w:rFonts w:ascii="宋体" w:eastAsia="宋体" w:hAnsi="宋体"/>
          <w:sz w:val="24"/>
          <w:szCs w:val="24"/>
        </w:rPr>
      </w:pPr>
    </w:p>
    <w:p w14:paraId="826996EF">
      <w:pPr>
        <w:pStyle w:val="style0"/>
        <w:spacing w:lineRule="auto" w:line="240"/>
        <w:jc w:val="both"/>
        <w:rPr>
          <w:rFonts w:ascii="宋体" w:eastAsia="宋体" w:hAnsi="宋体"/>
          <w:sz w:val="24"/>
          <w:szCs w:val="24"/>
        </w:rPr>
      </w:pPr>
    </w:p>
    <w:p w14:paraId="91334815">
      <w:pPr>
        <w:pStyle w:val="style0"/>
        <w:spacing w:lineRule="auto" w:line="240"/>
        <w:jc w:val="both"/>
        <w:rPr>
          <w:rFonts w:ascii="宋体" w:eastAsia="宋体" w:hAnsi="宋体"/>
          <w:sz w:val="24"/>
          <w:szCs w:val="24"/>
        </w:rPr>
      </w:pP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事实与理由</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F2F6C5E3">
      <w:pPr>
        <w:pStyle w:val="style0"/>
        <w:spacing w:lineRule="auto" w:line="24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理由:</w:t>
      </w:r>
    </w:p>
    <w:p w14:paraId="6B72B536">
      <w:pPr>
        <w:pStyle w:val="style179"/>
        <w:numPr>
          <w:ilvl w:val="0"/>
          <w:numId w:val="8"/>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拼多多与中国人寿财险在拼多多应用上提供的</w:t>
      </w: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"正品险保障"实为虚假(无效)保险</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。本质等于 "买到'非正品'仅退款"。而这是国家法律就能强制保障的。</w:t>
      </w:r>
    </w:p>
    <w:p w14:paraId="7C4549D6">
      <w:pPr>
        <w:pStyle w:val="style0"/>
        <w:spacing w:lineRule="auto" w:line="240"/>
        <w:ind w:left="420" w:firstLine="0"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color="auto"/>
          <w:vertAlign w:val="baseline"/>
          <w:em w:val="none"/>
          <w:lang w:val="en-US" w:bidi="ar-SA" w:eastAsia="zh-CN"/>
        </w:rPr>
        <w:t>因为根据拼多多公开正品保险合同的"保险责任"的4个条件</w:t>
      </w: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u w:val="single" w:color="auto"/>
          <w:vertAlign w:val="baseline"/>
          <w:em w:val="none"/>
          <w:lang w:val="en-US" w:bidi="ar-SA" w:eastAsia="zh-CN"/>
        </w:rPr>
        <w:t>只要"拼多多'假一退一'</w:t>
      </w: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u w:val="single" w:color="auto"/>
          <w:vertAlign w:val="baseline"/>
          <w:em w:val="none"/>
          <w:lang w:val="en-US" w:bidi="ar-SA" w:eastAsia="zh-CN"/>
        </w:rPr>
        <w:t>就使'正品保险合同无责'"。</w:t>
      </w: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而'假一退一'是"国家法律强制保障的"</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因此拼多多肯定'假一退一'</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最终使"正品保险合同"不会有任何实质的风险保障</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w:t>
      </w:r>
    </w:p>
    <w:p w14:paraId="0EBA2FED">
      <w:pPr>
        <w:pStyle w:val="style179"/>
        <w:numPr>
          <w:ilvl w:val="0"/>
          <w:numId w:val="8"/>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被告和拼多多因为"正品险交易订单"取得的有关利益</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就是"不当得利"。</w:t>
      </w:r>
    </w:p>
    <w:p w14:paraId="78140824">
      <w:pPr>
        <w:pStyle w:val="style0"/>
        <w:spacing w:lineRule="auto" w:line="240"/>
        <w:ind w:firstLine="420" w:firstLine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被告以"无效保险得利巨大"的事实</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不仅不符合市场经济、民事法律权利和</w:t>
      </w:r>
    </w:p>
    <w:p w14:paraId="D39A6C17">
      <w:pPr>
        <w:pStyle w:val="style0"/>
        <w:spacing w:lineRule="auto" w:line="240"/>
        <w:ind w:firstLine="420"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行为</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也违反保险行业规则 和 社会公德及通常。</w:t>
      </w:r>
    </w:p>
    <w:p w14:paraId="96F9C648">
      <w:pPr>
        <w:pStyle w:val="style0"/>
        <w:spacing w:lineRule="auto" w:line="240"/>
        <w:ind w:firstLine="420" w:firstLine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被告以虚假的"正品保险合同"误导消费者认知</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欺骗全球消费者。</w:t>
      </w:r>
    </w:p>
    <w:p w14:paraId="2E83BA2C">
      <w:pPr>
        <w:pStyle w:val="style0"/>
        <w:spacing w:lineRule="auto" w:line="240"/>
        <w:ind w:firstLine="420"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包括原告在拼多多平台上交易订单号"250624-582179888711450")交易。</w:t>
      </w:r>
    </w:p>
    <w:p w14:paraId="F76B0764">
      <w:pPr>
        <w:pStyle w:val="style179"/>
        <w:numPr>
          <w:ilvl w:val="0"/>
          <w:numId w:val="8"/>
        </w:numPr>
        <w:spacing w:lineRule="auto" w:line="240"/>
        <w:ind w:firstLine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被告设置不正当条件阻碍消费者维权</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虚假宣传不正当竞争得利巨大。</w:t>
      </w:r>
    </w:p>
    <w:p w14:paraId="9CD8334A">
      <w:pPr>
        <w:pStyle w:val="style0"/>
        <w:spacing w:lineRule="auto" w:line="24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p>
    <w:p w14:paraId="8E490D34">
      <w:pPr>
        <w:pStyle w:val="style0"/>
        <w:spacing w:lineRule="auto" w:line="24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事实:</w:t>
      </w:r>
    </w:p>
    <w:p w14:paraId="F60466A9">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2025年06月24日</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原告通过拼多多购买了商家</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ACA北美电器云玥专卖店</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 销售的"ACA精准厨房电子秤高精度..."款式为"【标充款】</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【3kg0.1g】省电精准""</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共1件</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金额为5.42元</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订单号"250624-582179888711450"。</w:t>
      </w:r>
    </w:p>
    <w:p w14:paraId="1BAA6166">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该商品页显著位置有显著的"正品险标识"和"正品险由中国人寿财险承保"文字</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w:t>
      </w:r>
    </w:p>
    <w:p w14:paraId="B22EEBE1">
      <w:pPr>
        <w:pStyle w:val="style179"/>
        <w:numPr>
          <w:ilvl w:val="0"/>
          <w:numId w:val="0"/>
        </w:numPr>
        <w:spacing w:lineRule="auto" w:line="240"/>
        <w:ind w:left="420" w:firstLine="0" w:firstLine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点击该"正品险链接"展示的"正品保险"页面</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其完整内容由已提交证据图片"证据_平台1_正品险_保险说明及理赔*"证实</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特此摘要前两段</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p>
    <w:p w14:paraId="2ABE095A">
      <w:pPr>
        <w:pStyle w:val="style179"/>
        <w:numPr>
          <w:ilvl w:val="0"/>
          <w:numId w:val="0"/>
        </w:numPr>
        <w:spacing w:lineRule="auto" w:line="240"/>
        <w:ind w:left="420" w:firstLine="0" w:firstLineChars="0"/>
        <w:jc w:val="both"/>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商品正品交易履约保证保险</w:t>
      </w:r>
      <w:r>
        <w:rPr>
          <w:rFonts w:ascii="Times New Roman" w:cs="Times New Roman" w:hAnsi="Times New Roman" w:hint="default"/>
          <w:b w:val="false"/>
          <w:bCs w:val="false"/>
          <w:i w:val="false"/>
          <w:iCs w:val="false"/>
          <w:color w:val="auto"/>
          <w:kern w:val="2"/>
          <w:sz w:val="24"/>
          <w:szCs w:val="24"/>
          <w:highlight w:val="none"/>
          <w:u w:val="singl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正品险</w:t>
      </w:r>
      <w:r>
        <w:rPr>
          <w:rFonts w:ascii="Times New Roman" w:cs="Times New Roman" w:hAnsi="Times New Roman" w:hint="default"/>
          <w:b w:val="false"/>
          <w:bCs w:val="false"/>
          <w:i w:val="false"/>
          <w:iCs w:val="false"/>
          <w:color w:val="auto"/>
          <w:kern w:val="2"/>
          <w:sz w:val="24"/>
          <w:szCs w:val="24"/>
          <w:highlight w:val="none"/>
          <w:u w:val="singl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由拼多多联合中国人寿财产保险股份有限公司上海市分公司</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中国人寿财险</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"共同推出。若消费者在指定店铺内买到非正品</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在取得正品鉴定机构提供的鉴定为非正品的报告后可以发起理赔。</w:t>
      </w:r>
    </w:p>
    <w:p w14:paraId="1E22A3B8">
      <w:pPr>
        <w:pStyle w:val="style179"/>
        <w:numPr>
          <w:ilvl w:val="0"/>
          <w:numId w:val="0"/>
        </w:numPr>
        <w:spacing w:lineRule="auto" w:line="240"/>
        <w:ind w:left="420" w:firstLine="0"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vertAlign w:val="baseline"/>
          <w:em w:val="none"/>
          <w:lang w:val="en-US" w:bidi="ar-SA" w:eastAsia="zh-CN"/>
        </w:rPr>
        <w:t>正品险保险责任</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保险期间内, 消费者在拼多多购买商品, 商品有正品险标识</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但经正品鉴定机构认定为非正品, 且拼多多未能依据相关法律或服务承诺按期返还消费者已支付的该商品价款的, 中国人寿财险按照保险合同约定负责赔偿"</w:t>
      </w:r>
    </w:p>
    <w:p w14:paraId="227FD00A">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bCs/>
          <w:i w:val="false"/>
          <w:iCs w:val="false"/>
          <w:color w:val="auto"/>
          <w:kern w:val="2"/>
          <w:sz w:val="24"/>
          <w:szCs w:val="24"/>
          <w:highlight w:val="none"/>
          <w:vertAlign w:val="baseline"/>
          <w:em w:val="none"/>
          <w:lang w:val="en-US" w:bidi="ar-SA" w:eastAsia="zh-CN"/>
        </w:rPr>
        <w:t>到货验收发现并确认是"假冒伪劣商品"</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w:t>
      </w:r>
    </w:p>
    <w:p w14:paraId="404EE8F9">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拼多多平台串通持"中央金融"牌的"中国人寿财险"信誉承保的"虚假正品保险合同"欺骗交易</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还能"阻止任何赔付"。绕过"任何实质保险责任"。极大不正当得利。</w:t>
      </w:r>
    </w:p>
    <w:p w14:paraId="64DC904D">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虚假"正品险保障"导致事实上的"虚假宣传"</w:t>
      </w:r>
      <w:r>
        <w:rPr>
          <w:rFonts w:ascii="Times New Roman" w:cs="Times New Roman"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 xml:space="preserve">违反"反不正当竞争法"。 </w:t>
      </w:r>
    </w:p>
    <w:p w14:paraId="289E20F2">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"该保险合同"要求消费者提供"正品鉴定机构的正品报告"是阻碍消费者正当维权</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显示不公正、不平等的。显式不公正的无效"格式合同条款"。</w:t>
      </w:r>
    </w:p>
    <w:p w14:paraId="2EB5EA44">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拼多多平台上全世界的消费者的权益</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过去、现在以及可预见的未来一段时期</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都受到"虚假正品保险合同"的欺诈交易。</w:t>
      </w:r>
    </w:p>
    <w:p w14:paraId="4FD75F09">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"惩罚性赔偿损失"应当参照"侵权平台方"的"法定代表人"的实际收入水平</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3D2970C4">
      <w:pPr>
        <w:pStyle w:val="style179"/>
        <w:numPr>
          <w:ilvl w:val="0"/>
          <w:numId w:val="10"/>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为防止平台型法人"滥用社会、市场及网络支配地位、操纵经济和社会秩序";</w:t>
      </w:r>
    </w:p>
    <w:p w14:paraId="7F056F63">
      <w:pPr>
        <w:pStyle w:val="style179"/>
        <w:numPr>
          <w:ilvl w:val="0"/>
          <w:numId w:val="10"/>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为督促平台型法人第一时间主动联系受损害方, 先行赔偿防止此类案发</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4CCAECDF">
      <w:pPr>
        <w:pStyle w:val="style179"/>
        <w:numPr>
          <w:ilvl w:val="0"/>
          <w:numId w:val="10"/>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为受损害方</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争取合理赔偿</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保护民众的合法权利</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特别是受司法救助群体。</w:t>
      </w:r>
    </w:p>
    <w:p w14:paraId="984B7C9E">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总天数估计: 120天(赔偿损失用的)</w:t>
      </w:r>
    </w:p>
    <w:p w14:paraId="7BC48ADC">
      <w:pPr>
        <w:spacing w:lineRule="auto" w:line="240"/>
        <w:ind w:left="420" w:left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赔偿计算的起始日为2025年06月24日("订单成交日")。先估计10月24日为判决日期。为给法院足够时间</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及合理估计立案"标的额"</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p>
    <w:p w14:paraId="1ED78D19">
      <w:pPr>
        <w:spacing w:lineRule="auto" w:line="240"/>
        <w:ind w:left="420" w:left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u w:val="single" w:color="auto"/>
          <w:vertAlign w:val="baseline"/>
          <w:em w:val="none"/>
          <w:lang w:val="en-US" w:bidi="ar-SA" w:eastAsia="zh-CN"/>
        </w:rPr>
        <w:t>另外</w:t>
      </w: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u w:val="single" w:color="auto"/>
          <w:vertAlign w:val="baseline"/>
          <w:em w:val="none"/>
          <w:lang w:val="en-US" w:bidi="ar-SA" w:eastAsia="zh-CN"/>
        </w:rPr>
        <w:t>原告接受按照实际的判决执行日期更正标的额</w:t>
      </w:r>
      <w:r>
        <w:rPr>
          <w:rFonts w:ascii="Times New Roman" w:cs="Times New Roman" w:eastAsia="宋体" w:hAnsi="Times New Roman" w:hint="default"/>
          <w:b w:val="false"/>
          <w:bCs w:val="false"/>
          <w:i w:val="false"/>
          <w:iCs w:val="false"/>
          <w:color w:val="auto"/>
          <w:kern w:val="2"/>
          <w:sz w:val="24"/>
          <w:szCs w:val="24"/>
          <w:highlight w:val="none"/>
          <w:u w:val="single" w:color="auto"/>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u w:val="single" w:color="auto"/>
          <w:vertAlign w:val="baseline"/>
          <w:em w:val="none"/>
          <w:lang w:val="en-US" w:bidi="ar-SA" w:eastAsia="zh-CN"/>
        </w:rPr>
        <w:t>以尊重法院的自主日程安排。也请法官判决前和原告同步判决执行日期并更正标的额</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w:t>
      </w:r>
    </w:p>
    <w:p w14:paraId="4CD60337">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赔偿损失的参照模型: 赔偿金额计算公式为: [ "总天数" × "日薪" × "放大系数" ]。</w:t>
      </w:r>
    </w:p>
    <w:p w14:paraId="E9254C29">
      <w:pPr>
        <w:spacing w:lineRule="auto" w:line="240"/>
        <w:ind w:left="420" w:leftChars="0"/>
        <w:jc w:val="both"/>
        <w:rPr>
          <w:rFonts w:ascii="宋体" w:eastAsia="宋体" w:hAnsi="宋体"/>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①</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"放大系数": 10.0</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罚赔十倍, 被告制定显式不合理规则、不正当竞争。</w:t>
      </w:r>
    </w:p>
    <w:p w14:paraId="E2886CFC">
      <w:pPr>
        <w:spacing w:lineRule="auto" w:line="240"/>
        <w:ind w:left="420" w:leftChars="0"/>
        <w:jc w:val="both"/>
        <w:rPr>
          <w:rFonts w:ascii="宋体" w:eastAsia="宋体" w:hAnsi="宋体"/>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②</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"总天数": 120天。</w:t>
      </w:r>
    </w:p>
    <w:p w14:paraId="B4EC0159">
      <w:pPr>
        <w:spacing w:lineRule="auto" w:line="240"/>
        <w:ind w:left="420" w:leftChars="0"/>
        <w:jc w:val="both"/>
        <w:rPr>
          <w:rFonts w:ascii="宋体" w:eastAsia="宋体" w:hAnsi="宋体"/>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③</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"日薪"(原告2025年的)应当为:9135元/天; 由历史薪资计算年均增长率估计:</w:t>
      </w:r>
    </w:p>
    <w:p w14:paraId="52D06FAC">
      <w:pPr>
        <w:numPr>
          <w:ilvl w:val="0"/>
          <w:numId w:val="0"/>
        </w:numPr>
        <w:spacing w:lineRule="auto" w:line="240"/>
        <w:ind w:left="420" w:leftChars="0"/>
        <w:jc w:val="both"/>
        <w:rPr>
          <w:rFonts w:ascii="宋体" w:eastAsia="宋体" w:hAnsi="宋体"/>
          <w:sz w:val="24"/>
          <w:szCs w:val="24"/>
        </w:rPr>
      </w:pP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④</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被告应赔偿金额 10962000.00元[ 120 ×9135 ×10 ]</w:t>
      </w:r>
    </w:p>
    <w:p w14:paraId="F5D054D3">
      <w:pPr>
        <w:pStyle w:val="style179"/>
        <w:numPr>
          <w:ilvl w:val="0"/>
          <w:numId w:val="4"/>
        </w:numPr>
        <w:spacing w:lineRule="auto" w:line="240"/>
        <w:ind w:firstLineChars="0"/>
        <w:jc w:val="both"/>
        <w:rPr>
          <w:rFonts w:ascii="宋体" w:eastAsia="宋体" w:hAnsi="宋体"/>
          <w:sz w:val="24"/>
          <w:szCs w:val="24"/>
        </w:rPr>
      </w:pP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请法院将被告侵害社会公共利益的公益诉讼线索</w:t>
      </w:r>
      <w:r>
        <w:rPr>
          <w:rFonts w:ascii="Times New Roman" w:cs="Times New Roman" w:eastAsia="宋体" w:hAnsi="Times New Roman" w:hint="default"/>
          <w:b w:val="false"/>
          <w:bCs w:val="false"/>
          <w:i w:val="false"/>
          <w:iCs w:val="false"/>
          <w:color w:val="auto"/>
          <w:kern w:val="2"/>
          <w:sz w:val="24"/>
          <w:szCs w:val="24"/>
          <w:highlight w:val="none"/>
          <w:vertAlign w:val="baseline"/>
          <w:em w:val="none"/>
          <w:lang w:val="en-US" w:bidi="ar-SA" w:eastAsia="zh-CN"/>
        </w:rPr>
        <w:t>，</w:t>
      </w:r>
      <w:r>
        <w:rPr>
          <w:rFonts w:ascii="宋体" w:cs="Times New Roman" w:eastAsia="宋体" w:hAnsi="宋体" w:hint="default"/>
          <w:b w:val="false"/>
          <w:bCs w:val="false"/>
          <w:i w:val="false"/>
          <w:iCs w:val="false"/>
          <w:color w:val="auto"/>
          <w:kern w:val="2"/>
          <w:sz w:val="24"/>
          <w:szCs w:val="24"/>
          <w:highlight w:val="none"/>
          <w:vertAlign w:val="baseline"/>
          <w:em w:val="none"/>
          <w:lang w:val="en-US" w:bidi="ar-SA" w:eastAsia="zh-CN"/>
        </w:rPr>
        <w:t>转报给有管辖权的检察院一并提起公诉; 因为被告联合拼多多以虚假"正品保险合同"误导与欺骗全球消费者交易并侵占他们权利.</w:t>
      </w:r>
    </w:p>
    <w:p w14:paraId="82B84912">
      <w:pPr>
        <w:pStyle w:val="style0"/>
        <w:ind w:firstLine="0"/>
        <w:rPr>
          <w:rFonts w:ascii="宋体" w:eastAsia="宋体" w:hAnsi="宋体"/>
          <w:sz w:val="24"/>
          <w:szCs w:val="24"/>
        </w:rPr>
      </w:pPr>
    </w:p>
    <w:p w14:paraId="0B6D4740">
      <w:pPr>
        <w:pStyle w:val="style0"/>
        <w:ind w:firstLine="0"/>
        <w:rPr>
          <w:rFonts w:ascii="宋体" w:eastAsia="宋体" w:hAnsi="宋体"/>
          <w:sz w:val="24"/>
          <w:szCs w:val="24"/>
          <w:lang w:val="en-US"/>
        </w:rPr>
      </w:pPr>
      <w:r>
        <w:rPr>
          <w:rFonts w:ascii="宋体" w:eastAsia="宋体" w:hAnsi="宋体"/>
          <w:sz w:val="24"/>
          <w:szCs w:val="24"/>
          <w:lang w:val="en-US"/>
        </w:rPr>
        <w:t>证据</w:t>
      </w:r>
    </w:p>
    <w:p w14:paraId="9B1EB094">
      <w:pPr>
        <w:pStyle w:val="style0"/>
        <w:ind w:left="420" w:leftChars="0" w:firstLine="0"/>
        <w:rPr>
          <w:rFonts w:ascii="宋体" w:eastAsia="宋体" w:hAnsi="宋体"/>
          <w:sz w:val="24"/>
          <w:szCs w:val="24"/>
        </w:rPr>
      </w:pPr>
      <w:r>
        <w:rPr>
          <w:rFonts w:ascii="宋体" w:eastAsia="宋体" w:hAnsi="宋体"/>
          <w:sz w:val="24"/>
          <w:szCs w:val="24"/>
          <w:lang w:val="en-US"/>
        </w:rPr>
        <w:t>已独立提交。</w:t>
      </w:r>
    </w:p>
    <w:p w14:paraId="A81EFBDF">
      <w:pPr>
        <w:pStyle w:val="style0"/>
        <w:rPr>
          <w:rFonts w:ascii="宋体" w:eastAsia="宋体" w:hAnsi="宋体"/>
          <w:sz w:val="24"/>
          <w:szCs w:val="24"/>
        </w:rPr>
      </w:pPr>
    </w:p>
    <w:p w14:paraId="B6C462BD">
      <w:pPr>
        <w:pStyle w:val="style0"/>
        <w:rPr>
          <w:rFonts w:ascii="宋体" w:eastAsia="宋体" w:hAnsi="宋体"/>
          <w:sz w:val="24"/>
          <w:szCs w:val="24"/>
        </w:rPr>
      </w:pPr>
      <w:r>
        <w:rPr>
          <w:rFonts w:ascii="宋体" w:eastAsia="宋体" w:hAnsi="宋体"/>
          <w:sz w:val="24"/>
          <w:szCs w:val="24"/>
        </w:rPr>
        <w:t>此致</w:t>
      </w:r>
    </w:p>
    <w:p w14:paraId="D5A4DD03">
      <w:pPr>
        <w:pStyle w:val="style0"/>
        <w:ind w:left="420" w:leftChars="0"/>
        <w:rPr>
          <w:rFonts w:ascii="宋体" w:eastAsia="宋体" w:hAnsi="宋体"/>
          <w:sz w:val="24"/>
          <w:szCs w:val="24"/>
        </w:rPr>
      </w:pPr>
      <w:r>
        <w:rPr>
          <w:rFonts w:ascii="宋体" w:eastAsia="宋体" w:hAnsi="宋体"/>
          <w:sz w:val="24"/>
          <w:szCs w:val="24"/>
          <w:u w:val="single"/>
        </w:rPr>
        <w:t>上海市</w:t>
      </w:r>
      <w:r>
        <w:rPr>
          <w:rFonts w:ascii="宋体" w:eastAsia="宋体" w:hAnsi="宋体"/>
          <w:sz w:val="24"/>
          <w:szCs w:val="24"/>
          <w:u w:val="single"/>
          <w:lang w:val="en-US"/>
        </w:rPr>
        <w:t>浦东新</w:t>
      </w:r>
      <w:r>
        <w:rPr>
          <w:rFonts w:ascii="宋体" w:eastAsia="宋体" w:hAnsi="宋体"/>
          <w:sz w:val="24"/>
          <w:szCs w:val="24"/>
          <w:u w:val="single"/>
        </w:rPr>
        <w:t>区人民法院</w:t>
      </w:r>
    </w:p>
    <w:p w14:paraId="5FC95713">
      <w:pPr>
        <w:pStyle w:val="style0"/>
        <w:ind w:firstLine="0"/>
        <w:jc w:val="right"/>
        <w:rPr>
          <w:rFonts w:ascii="宋体" w:eastAsia="宋体" w:hAnsi="宋体"/>
          <w:sz w:val="24"/>
          <w:szCs w:val="24"/>
        </w:rPr>
      </w:pPr>
    </w:p>
    <w:p w14:paraId="2E021ED9">
      <w:pPr>
        <w:pStyle w:val="style0"/>
        <w:jc w:val="right"/>
        <w:rPr>
          <w:rFonts w:ascii="宋体" w:eastAsia="宋体" w:hAnsi="宋体"/>
          <w:sz w:val="24"/>
          <w:szCs w:val="24"/>
        </w:rPr>
      </w:pPr>
      <w:r>
        <w:rPr>
          <w:rFonts w:ascii="宋体" w:eastAsia="宋体" w:hAnsi="宋体"/>
          <w:sz w:val="24"/>
          <w:szCs w:val="24"/>
        </w:rPr>
        <w:t xml:space="preserve">起诉人(签名): </w:t>
      </w:r>
      <w:r>
        <w:rPr>
          <w:rFonts w:ascii="宋体" w:eastAsia="宋体" w:hAnsi="宋体"/>
          <w:sz w:val="24"/>
          <w:szCs w:val="24"/>
        </w:rPr>
      </w:r>
      <w:r>
        <w:rPr>
          <w:rFonts w:ascii="宋体" w:eastAsia="宋体" w:hAnsi="宋体"/>
          <w:sz w:val="24"/>
          <w:szCs w:val="24"/>
        </w:rPr>
      </w:r>
      <w:r>
        <w:rPr>
          <w:rFonts w:ascii="宋体" w:eastAsia="宋体" w:hAnsi="宋体"/>
          <w:sz w:val="24"/>
          <w:szCs w:val="24"/>
        </w:rPr>
      </w:r>
      <w:r>
        <w:rPr>
          <w:rFonts w:ascii="宋体" w:eastAsia="宋体" w:hAnsi="宋体"/>
          <w:sz w:val="24"/>
          <w:szCs w:val="24"/>
        </w:rPr>
        <w:drawing>
          <wp:inline distL="0" distT="0" distB="0" distR="0">
            <wp:extent cx="547540" cy="410653"/>
            <wp:effectExtent l="7986" t="10813" r="8015" b="10765"/>
            <wp:docPr id="1026" name="图片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图片 1"/>
                    <pic:cNvPicPr/>
                  </pic:nvPicPr>
                  <pic:blipFill>
                    <a:blip r:embed="rId2" cstate="print"/>
                    <a:srcRect l="0" t="0" r="0" b="0"/>
                    <a:stretch/>
                  </pic:blipFill>
                  <pic:spPr>
                    <a:xfrm rot="21426718">
                      <a:off x="0" y="0"/>
                      <a:ext cx="547540" cy="410653"/>
                    </a:xfrm>
                    <a:prstGeom prst="rect"/>
                    <a:ln>
                      <a:noFill/>
                    </a:ln>
                  </pic:spPr>
                </pic:pic>
              </a:graphicData>
            </a:graphic>
          </wp:inline>
        </w:drawing>
      </w:r>
      <w:r>
        <w:rPr>
          <w:rFonts w:ascii="宋体" w:eastAsia="宋体" w:hAnsi="宋体"/>
          <w:sz w:val="24"/>
          <w:szCs w:val="24"/>
        </w:rPr>
      </w:r>
      <w:r>
        <w:rPr>
          <w:rFonts w:ascii="宋体" w:eastAsia="宋体" w:hAnsi="宋体"/>
          <w:sz w:val="24"/>
          <w:szCs w:val="24"/>
        </w:rPr>
      </w:r>
    </w:p>
    <w:p w14:paraId="58358AA7">
      <w:pPr>
        <w:pStyle w:val="style0"/>
        <w:jc w:val="right"/>
        <w:rPr>
          <w:rFonts w:ascii="宋体" w:eastAsia="宋体" w:hAnsi="宋体" w:hint="eastAsia"/>
          <w:sz w:val="24"/>
          <w:szCs w:val="24"/>
        </w:rPr>
      </w:pPr>
      <w:r>
        <w:rPr>
          <w:rFonts w:ascii="宋体" w:eastAsia="宋体" w:hAnsi="宋体"/>
          <w:sz w:val="24"/>
          <w:szCs w:val="24"/>
        </w:rPr>
        <w:t xml:space="preserve">　　　　　　　　 日期: </w:t>
      </w:r>
      <w:r>
        <w:rPr>
          <w:rFonts w:ascii="宋体" w:eastAsia="宋体" w:hAnsi="宋体"/>
          <w:sz w:val="24"/>
          <w:szCs w:val="24"/>
          <w:u w:val="single"/>
        </w:rPr>
        <w:t>2025</w:t>
      </w:r>
      <w:r>
        <w:rPr>
          <w:rFonts w:ascii="宋体" w:eastAsia="宋体" w:hAnsi="宋体"/>
          <w:sz w:val="24"/>
          <w:szCs w:val="24"/>
        </w:rPr>
        <w:t>年</w:t>
      </w:r>
      <w:r>
        <w:rPr>
          <w:rFonts w:ascii="宋体" w:eastAsia="宋体" w:hAnsi="宋体"/>
          <w:sz w:val="24"/>
          <w:szCs w:val="24"/>
          <w:u w:val="single"/>
          <w:lang w:val="en-US"/>
        </w:rPr>
        <w:t>09</w:t>
      </w:r>
      <w:r>
        <w:rPr>
          <w:rFonts w:ascii="宋体" w:eastAsia="宋体" w:hAnsi="宋体"/>
          <w:sz w:val="24"/>
          <w:szCs w:val="24"/>
        </w:rPr>
        <w:t>月</w:t>
      </w:r>
      <w:r>
        <w:rPr>
          <w:rFonts w:ascii="宋体" w:eastAsia="宋体" w:hAnsi="宋体"/>
          <w:sz w:val="24"/>
          <w:szCs w:val="24"/>
          <w:u w:val="single"/>
          <w:lang w:val="en-US"/>
        </w:rPr>
        <w:t>24</w:t>
      </w:r>
      <w:r>
        <w:rPr>
          <w:rFonts w:ascii="宋体" w:eastAsia="宋体" w:hAnsi="宋体"/>
          <w:sz w:val="24"/>
          <w:szCs w:val="24"/>
        </w:rPr>
        <w:t>日</w:t>
      </w:r>
    </w:p>
    <w:sectPr>
      <w:pgSz w:w="12240" w:h="20160" w:orient="portrait"/>
      <w:pgMar w:top="1440" w:right="1800" w:bottom="1440" w:left="1800" w:header="851" w:footer="992"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SimSun"/>
    <w:panose1 w:val="02010600030000010101"/>
    <w:charset w:val="86"/>
    <w:family w:val="auto"/>
    <w:pitch w:val="variable"/>
    <w:sig w:usb0="00000003" w:usb1="080E0000" w:usb2="00000010"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Calibri">
    <w:altName w:val="Calibri"/>
    <w:panose1 w:val="020f0502020000030204"/>
    <w:charset w:val="7a"/>
    <w:family w:val="swiss"/>
    <w:pitch w:val="default"/>
    <w:sig w:usb0="E10002FF" w:usb1="4000ACFF" w:usb2="00000009" w:usb3="00000000" w:csb0="2000019F" w:csb1="00000000"/>
  </w:font>
  <w:font w:name="仿宋_GB2312">
    <w:altName w:val="Times New Roman"/>
    <w:panose1 w:val="02020603050000020304"/>
    <w:charset w:val="00"/>
    <w:family w:val="roman"/>
    <w:pitch w:val="variable"/>
    <w:sig w:usb0="20007A87" w:usb1="80000000" w:usb2="00000008" w:usb3="00000000" w:csb0="000001FF" w:csb1="00000000"/>
  </w:font>
  <w:font w:name="Arial">
    <w:altName w:val="Arial"/>
    <w:panose1 w:val="020b0604020000020204"/>
    <w:charset w:val="01"/>
    <w:family w:val="swiss"/>
    <w:pitch w:val="default"/>
    <w:sig w:usb0="00007A87" w:usb1="80000000" w:usb2="00000008"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start w:val="1"/>
      <w:numFmt w:val="decimal"/>
      <w:lvlText w:val="%1."/>
      <w:lvlJc w:val="left"/>
      <w:pPr>
        <w:tabs>
          <w:tab w:val="left" w:leader="none" w:pos="420"/>
        </w:tabs>
        <w:ind w:left="0" w:firstLine="0"/>
      </w:pPr>
    </w:lvl>
    <w:lvl w:ilvl="1">
      <w:start w:val="1"/>
      <w:numFmt w:val="lowerLetter"/>
      <w:lvlText w:val="%2)"/>
      <w:lvlJc w:val="left"/>
      <w:pPr>
        <w:tabs>
          <w:tab w:val="left" w:leader="none" w:pos="840"/>
        </w:tabs>
        <w:ind w:left="840" w:hanging="420"/>
      </w:pPr>
    </w:lvl>
    <w:lvl w:ilvl="2">
      <w:start w:val="1"/>
      <w:numFmt w:val="lowerRoman"/>
      <w:lvlText w:val="%3"/>
      <w:lvlJc w:val="right"/>
      <w:pPr>
        <w:tabs>
          <w:tab w:val="left" w:leader="none" w:pos="1260"/>
        </w:tabs>
        <w:ind w:left="1260" w:hanging="420"/>
      </w:pPr>
    </w:lvl>
    <w:lvl w:ilvl="3">
      <w:start w:val="1"/>
      <w:numFmt w:val="decimal"/>
      <w:lvlText w:val="%4"/>
      <w:lvlJc w:val="left"/>
      <w:pPr>
        <w:tabs>
          <w:tab w:val="left" w:leader="none" w:pos="1680"/>
        </w:tabs>
        <w:ind w:left="1680" w:hanging="420"/>
      </w:pPr>
    </w:lvl>
    <w:lvl w:ilvl="4">
      <w:start w:val="1"/>
      <w:numFmt w:val="lowerLetter"/>
      <w:lvlText w:val="%5)"/>
      <w:lvlJc w:val="left"/>
      <w:pPr>
        <w:tabs>
          <w:tab w:val="left" w:leader="none" w:pos="2100"/>
        </w:tabs>
        <w:ind w:left="2100" w:hanging="420"/>
      </w:pPr>
    </w:lvl>
    <w:lvl w:ilvl="5">
      <w:start w:val="1"/>
      <w:numFmt w:val="lowerRoman"/>
      <w:lvlText w:val="%6"/>
      <w:lvlJc w:val="right"/>
      <w:pPr>
        <w:tabs>
          <w:tab w:val="left" w:leader="none" w:pos="2520"/>
        </w:tabs>
        <w:ind w:left="2520" w:hanging="420"/>
      </w:pPr>
    </w:lvl>
    <w:lvl w:ilvl="6">
      <w:start w:val="1"/>
      <w:numFmt w:val="decimal"/>
      <w:lvlText w:val="%7"/>
      <w:lvlJc w:val="left"/>
      <w:pPr>
        <w:tabs>
          <w:tab w:val="left" w:leader="none" w:pos="2940"/>
        </w:tabs>
        <w:ind w:left="2940" w:hanging="420"/>
      </w:pPr>
    </w:lvl>
    <w:lvl w:ilvl="7">
      <w:start w:val="1"/>
      <w:numFmt w:val="lowerLetter"/>
      <w:lvlText w:val="%8)"/>
      <w:lvlJc w:val="left"/>
      <w:pPr>
        <w:tabs>
          <w:tab w:val="left" w:leader="none" w:pos="3360"/>
        </w:tabs>
        <w:ind w:left="3360" w:hanging="420"/>
      </w:pPr>
    </w:lvl>
    <w:lvl w:ilvl="8">
      <w:start w:val="1"/>
      <w:numFmt w:val="lowerRoman"/>
      <w:lvlText w:val="%9"/>
      <w:lvlJc w:val="right"/>
      <w:pPr>
        <w:tabs>
          <w:tab w:val="left" w:leader="none" w:pos="3780"/>
        </w:tabs>
        <w:ind w:left="3780" w:hanging="420"/>
      </w:pPr>
    </w:lvl>
  </w:abstractNum>
  <w:abstractNum w:abstractNumId="1">
    <w:nsid w:val="00000001"/>
    <w:multiLevelType w:val="hybridMultilevel"/>
    <w:tmpl w:val="33EBB9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0000002"/>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0000003"/>
    <w:multiLevelType w:val="hybridMultilevel"/>
    <w:tmpl w:val="000000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0000004"/>
    <w:multiLevelType w:val="hybridMultilevel"/>
    <w:tmpl w:val="914921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0000005"/>
    <w:multiLevelType w:val="hybridMultilevel"/>
    <w:tmpl w:val="AE93D2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0000006"/>
    <w:multiLevelType w:val="hybridMultilevel"/>
    <w:tmpl w:val="6141BF63"/>
    <w:lvl w:ilvl="0" w:tplc="0409000F">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
  </w:num>
  <w:num w:numId="2">
    <w:abstractNumId w:val="0"/>
  </w:num>
  <w:num w:numId="3">
    <w:abstractNumId w:val="1"/>
  </w:num>
  <w:num w:numId="4">
    <w:abstractNumId w:val="3"/>
  </w:num>
  <w:num w:numId="5">
    <w:abstractNumId w:val="4"/>
  </w:num>
  <w:num w:numId="6">
    <w:abstractNumId w:val="4"/>
  </w:num>
  <w:num w:numId="7">
    <w:abstractNumId w:val="5"/>
  </w:num>
  <w:num w:numId="8">
    <w:abstractNumId w:val="5"/>
  </w:num>
  <w:num w:numId="9">
    <w:abstractNumId w:val="6"/>
  </w:num>
  <w:num w:numId="10">
    <w:abstractNumId w:val="6"/>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76"/>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HorizontalSpacing w:val="180"/>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doNotUseIndentAsNumberingTabStop/>
    <w:useAltKinsokuLineBreakRules/>
    <w:splitPgBreakAndParaMark/>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宋体" w:hAnsi="Times New Roman"/>
        <w:lang w:val="en-US" w:bidi="ar-SA" w:eastAsia="zh-CN"/>
      </w:rPr>
    </w:rPrDefault>
    <w:pPrDefault>
      <w:pPr/>
    </w:pPrDefault>
  </w:docDefaults>
  <w:style w:type="paragraph" w:default="1" w:styleId="style0">
    <w:name w:val="Normal"/>
    <w:next w:val="style0"/>
    <w:pPr>
      <w:widowControl w:val="false"/>
      <w:jc w:val="both"/>
    </w:pPr>
    <w:rPr>
      <w:rFonts w:ascii="Times New Roman" w:cs="Times New Roman" w:eastAsia="宋体" w:hAnsi="Times New Roman"/>
      <w:kern w:val="2"/>
      <w:sz w:val="21"/>
      <w:szCs w:val="24"/>
      <w:lang w:val="en-US" w:bidi="ar-SA" w:eastAsia="zh-CN"/>
    </w:rPr>
  </w:style>
  <w:style w:type="paragraph" w:styleId="style1">
    <w:name w:val="heading 1"/>
    <w:basedOn w:val="style0"/>
    <w:next w:val="style0"/>
    <w:pPr>
      <w:keepNext/>
      <w:keepLines/>
      <w:widowControl w:val="false"/>
      <w:spacing w:before="340" w:after="330" w:lineRule="auto" w:line="578"/>
      <w:outlineLvl w:val="0"/>
    </w:pPr>
    <w:rPr>
      <w:b/>
      <w:bCs/>
      <w:kern w:val="44"/>
      <w:sz w:val="44"/>
    </w:rPr>
  </w:style>
  <w:style w:type="paragraph" w:styleId="style2">
    <w:name w:val="heading 2"/>
    <w:basedOn w:val="style0"/>
    <w:next w:val="style0"/>
    <w:pPr>
      <w:keepNext/>
      <w:keepLines/>
      <w:widowControl w:val="false"/>
      <w:spacing w:before="260" w:after="260" w:lineRule="auto" w:line="415"/>
      <w:outlineLvl w:val="1"/>
    </w:pPr>
    <w:rPr>
      <w:rFonts w:ascii="Luxi Sans" w:eastAsia="Evermore Ming" w:hAnsi="Luxi Sans"/>
      <w:b/>
      <w:sz w:val="32"/>
    </w:rPr>
  </w:style>
  <w:style w:type="paragraph" w:styleId="style3">
    <w:name w:val="heading 3"/>
    <w:basedOn w:val="style0"/>
    <w:next w:val="style0"/>
    <w:pPr>
      <w:keepNext/>
      <w:keepLines/>
      <w:widowControl w:val="false"/>
      <w:spacing w:before="260" w:after="260" w:lineRule="auto" w:line="415"/>
      <w:outlineLvl w:val="2"/>
    </w:pPr>
    <w:rPr>
      <w:b/>
      <w:sz w:val="32"/>
    </w:rPr>
  </w:style>
  <w:style w:type="character" w:default="1" w:styleId="style65">
    <w:name w:val="Default Paragraph Font"/>
    <w:next w:val="style65"/>
  </w:style>
  <w:style w:type="paragraph" w:styleId="style31">
    <w:name w:val="header"/>
    <w:basedOn w:val="style0"/>
    <w:next w:val="style31"/>
    <w:pPr>
      <w:pBdr>
        <w:bottom w:val="single" w:sz="6" w:space="1" w:color="auto"/>
      </w:pBdr>
      <w:tabs>
        <w:tab w:val="center" w:leader="none" w:pos="4153"/>
        <w:tab w:val="right" w:leader="none" w:pos="8306"/>
      </w:tabs>
      <w:snapToGrid w:val="false"/>
      <w:jc w:val="center"/>
    </w:pPr>
    <w:rPr>
      <w:sz w:val="18"/>
      <w:szCs w:val="18"/>
    </w:rPr>
  </w:style>
  <w:style w:type="paragraph" w:styleId="style32">
    <w:name w:val="footer"/>
    <w:basedOn w:val="style0"/>
    <w:next w:val="style32"/>
    <w:pPr>
      <w:tabs>
        <w:tab w:val="center" w:leader="none" w:pos="4153"/>
        <w:tab w:val="right" w:leader="none" w:pos="8306"/>
      </w:tabs>
      <w:snapToGrid w:val="false"/>
      <w:jc w:val="left"/>
    </w:pPr>
    <w:rPr>
      <w:sz w:val="18"/>
      <w:szCs w:val="18"/>
    </w:rPr>
  </w:style>
  <w:style w:type="paragraph" w:styleId="style179">
    <w:name w:val="List Paragraph"/>
    <w:basedOn w:val="style0"/>
    <w:next w:val="style179"/>
    <w:qFormat/>
    <w:uiPriority w:val="34"/>
    <w:pPr>
      <w:ind w:firstLine="420" w:firstLineChars="200"/>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Normal.eit</Template>
  <TotalTime>34</TotalTime>
  <Words>2221</Words>
  <Pages>1</Pages>
  <Characters>2444</Characters>
  <Application>WPS Office</Application>
  <Paragraphs>77</Paragraphs>
  <CharactersWithSpaces>2518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2025-07-11T04:06:30Z</dcterms:created>
  <dc:creator>zhouyun</dc:creator>
  <lastModifiedBy>2312DRA50C</lastModifiedBy>
  <dcterms:modified xsi:type="dcterms:W3CDTF">2025-09-24T13:35:54Z</dcterms:modified>
  <revision>3</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9321d2a7f5a94d4e9c66163c00cec0ee_23</vt:lpwstr>
  </property>
</Properties>
</file>