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B7819A17">
      <w:pPr>
        <w:pStyle w:val="style0"/>
        <w:jc w:val="center"/>
        <w:rPr>
          <w:b/>
          <w:bCs/>
          <w:sz w:val="44"/>
          <w:szCs w:val="44"/>
        </w:rPr>
      </w:pPr>
      <w:r>
        <w:rPr>
          <w:b/>
          <w:bCs/>
          <w:sz w:val="44"/>
          <w:szCs w:val="44"/>
        </w:rPr>
        <w:t>民事起诉状</w:t>
      </w:r>
    </w:p>
    <w:p w14:paraId="2807BCB6">
      <w:pPr>
        <w:pStyle w:val="style0"/>
        <w:rPr/>
      </w:pPr>
    </w:p>
    <w:p w14:paraId="4228E3EE">
      <w:pPr>
        <w:pStyle w:val="style0"/>
        <w:rPr>
          <w:lang w:val="en-US"/>
        </w:rPr>
      </w:pPr>
      <w:r>
        <w:rPr>
          <w:b/>
          <w:bCs/>
        </w:rPr>
        <w:t>原告</w:t>
      </w:r>
      <w:r>
        <w:t>：何义军、男、1984年02月22日出生、汉族、</w:t>
      </w:r>
      <w:r>
        <w:rPr>
          <w:lang w:val="en-US"/>
        </w:rPr>
        <w:t>身份证号431126198402221233,</w:t>
      </w:r>
    </w:p>
    <w:p w14:paraId="A33B42CE">
      <w:pPr>
        <w:pStyle w:val="style0"/>
        <w:ind w:left="630" w:leftChars="0"/>
        <w:rPr/>
      </w:pPr>
      <w:r>
        <w:t>住四川省成都市高新区天府大道北段18号附10号</w:t>
      </w:r>
      <w:r>
        <w:rPr>
          <w:lang w:val="en-US"/>
        </w:rPr>
        <w:t xml:space="preserve">, </w:t>
      </w:r>
      <w:r>
        <w:t>电话</w:t>
      </w:r>
      <w:r>
        <w:rPr>
          <w:lang w:val="en-US"/>
        </w:rPr>
        <w:t>19250199051</w:t>
      </w:r>
    </w:p>
    <w:p w14:paraId="A5E4BEEA">
      <w:pPr>
        <w:pStyle w:val="style0"/>
        <w:rPr>
          <w:lang w:val="en-US"/>
        </w:rPr>
      </w:pPr>
      <w:r>
        <w:rPr>
          <w:b/>
          <w:bCs/>
        </w:rPr>
        <w:t>被告</w:t>
      </w:r>
      <w:r>
        <w:t>：中国人寿财产保险股份有限公司上海市分公司，法人代表</w:t>
      </w:r>
      <w:r>
        <w:rPr>
          <w:rFonts w:hint="eastAsia"/>
        </w:rPr>
        <w:t>“杨楠”</w:t>
      </w:r>
      <w:r>
        <w:t>，</w:t>
      </w:r>
      <w:r>
        <w:rPr>
          <w:rFonts w:hint="eastAsia"/>
        </w:rPr>
        <w:t>统一社会信用代码 “91310000662495655</w:t>
      </w:r>
      <w:r>
        <w:rPr>
          <w:rFonts w:hint="default"/>
          <w:lang w:val="en-US"/>
        </w:rPr>
        <w:t>K</w:t>
      </w:r>
      <w:r>
        <w:rPr>
          <w:rFonts w:hint="eastAsia"/>
        </w:rPr>
        <w:t>”</w:t>
      </w:r>
      <w:r>
        <w:t>，</w:t>
      </w:r>
      <w:r>
        <w:rPr>
          <w:lang w:val="en-US"/>
        </w:rPr>
        <w:t>企业类型"股份有限公司分公司(国有控股)", 所属行业"保险业",</w:t>
      </w:r>
    </w:p>
    <w:p w14:paraId="B0947275">
      <w:pPr>
        <w:pStyle w:val="style0"/>
        <w:rPr>
          <w:b/>
          <w:bCs/>
        </w:rPr>
      </w:pPr>
      <w:r>
        <w:rPr>
          <w:lang w:val="en-US"/>
        </w:rPr>
        <w:t xml:space="preserve">工商注册号"310000000092995", 组织机构代码"66249565-5", </w:t>
      </w:r>
      <w:r>
        <w:t>注册地</w:t>
      </w:r>
      <w:r>
        <w:rPr>
          <w:rFonts w:hint="eastAsia"/>
        </w:rPr>
        <w:t>“</w:t>
      </w:r>
      <w:r>
        <w:rPr>
          <w:rFonts w:hint="default"/>
          <w:lang w:val="en-US"/>
        </w:rPr>
        <w:t>中国（上海）自由贸易试验区银城路88号（中国人寿金融中心）16楼、17楼</w:t>
      </w:r>
      <w:r>
        <w:rPr>
          <w:rFonts w:hint="eastAsia"/>
        </w:rPr>
        <w:t>”</w:t>
      </w:r>
    </w:p>
    <w:p w14:paraId="7BEE599E">
      <w:pPr>
        <w:pStyle w:val="style0"/>
        <w:spacing w:lineRule="auto" w:line="240"/>
        <w:jc w:val="both"/>
        <w:rPr/>
      </w:pPr>
    </w:p>
    <w:p w14:paraId="D83DF3F4">
      <w:pPr>
        <w:pStyle w:val="style0"/>
        <w:kinsoku w:val="false"/>
        <w:autoSpaceDE w:val="false"/>
        <w:autoSpaceDN w:val="false"/>
        <w:adjustRightInd w:val="false"/>
        <w:snapToGrid w:val="false"/>
        <w:spacing w:before="103" w:lineRule="auto" w:line="180"/>
        <w:jc w:val="left"/>
        <w:textAlignment w:val="baseline"/>
        <w:rPr>
          <w:sz w:val="24"/>
          <w:szCs w:val="24"/>
        </w:rPr>
      </w:pPr>
      <w:r>
        <w:rPr>
          <w:rFonts w:ascii="宋体" w:cs="Times New Roman" w:eastAsia="宋体" w:hAnsi="Times New Roman" w:hint="default"/>
          <w:b/>
          <w:bCs/>
          <w:i w:val="false"/>
          <w:iCs w:val="false"/>
          <w:noProof/>
          <w:snapToGrid w:val="false"/>
          <w:color w:val="auto"/>
          <w:kern w:val="2"/>
          <w:sz w:val="24"/>
          <w:szCs w:val="24"/>
          <w:highlight w:val="none"/>
          <w:vertAlign w:val="baseline"/>
          <w:em w:val="none"/>
          <w:lang w:val="en-US" w:bidi="ar-SA" w:eastAsia="zh-CN"/>
        </w:rPr>
        <w:t>名词解释:</w:t>
      </w:r>
    </w:p>
    <w:p w14:paraId="88B7929B">
      <w:pPr>
        <w:pStyle w:val="style0"/>
        <w:kinsoku w:val="false"/>
        <w:autoSpaceDE w:val="false"/>
        <w:autoSpaceDN w:val="false"/>
        <w:adjustRightInd w:val="false"/>
        <w:snapToGrid w:val="false"/>
        <w:spacing w:before="103" w:lineRule="auto" w:line="180"/>
        <w:jc w:val="left"/>
        <w:textAlignment w:val="baseline"/>
        <w:rPr>
          <w:rFonts w:ascii="Calibri" w:cs="Times New Roman" w:eastAsia="宋体" w:hAnsi="Calibri" w:hint="default"/>
          <w:b w:val="false"/>
          <w:bCs w:val="false"/>
          <w:i w:val="false"/>
          <w:iCs w:val="false"/>
          <w:color w:val="auto"/>
          <w:kern w:val="2"/>
          <w:sz w:val="24"/>
          <w:szCs w:val="24"/>
          <w:highlight w:val="none"/>
          <w:vertAlign w:val="baseline"/>
          <w:em w:val="none"/>
          <w:lang w:val="en-US" w:bidi="ar-SA" w:eastAsia="zh-CN"/>
        </w:rPr>
      </w:pPr>
      <w:r>
        <w:rPr>
          <w:rFonts w:ascii="Calibri" w:cs="Times New Roman" w:eastAsia="宋体" w:hAnsi="Calibri" w:hint="default"/>
          <w:b/>
          <w:bCs/>
          <w:i w:val="false"/>
          <w:iCs w:val="false"/>
          <w:color w:val="auto"/>
          <w:kern w:val="2"/>
          <w:sz w:val="24"/>
          <w:szCs w:val="24"/>
          <w:highlight w:val="none"/>
          <w:vertAlign w:val="baseline"/>
          <w:em w:val="none"/>
          <w:lang w:val="en-US" w:bidi="ar-SA" w:eastAsia="zh-CN"/>
        </w:rPr>
        <w:t xml:space="preserve">  人寿财险</w:t>
      </w:r>
      <w:r>
        <w:rPr>
          <w:rFonts w:ascii="Calibri" w:cs="Times New Roman" w:eastAsia="宋体" w:hAnsi="Calibri" w:hint="default"/>
          <w:b w:val="false"/>
          <w:bCs w:val="false"/>
          <w:i w:val="false"/>
          <w:iCs w:val="false"/>
          <w:color w:val="auto"/>
          <w:kern w:val="2"/>
          <w:sz w:val="24"/>
          <w:szCs w:val="24"/>
          <w:highlight w:val="none"/>
          <w:vertAlign w:val="baseline"/>
          <w:em w:val="none"/>
          <w:lang w:val="en-US" w:bidi="ar-SA" w:eastAsia="zh-CN"/>
        </w:rPr>
        <w:t>: 全称"</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中国人寿财产保险股份有限公司上海市分公司</w:t>
      </w:r>
      <w:r>
        <w:rPr>
          <w:rFonts w:ascii="Calibri" w:cs="Times New Roman" w:eastAsia="宋体" w:hAnsi="Calibri" w:hint="default"/>
          <w:b w:val="false"/>
          <w:bCs w:val="false"/>
          <w:i w:val="false"/>
          <w:iCs w:val="false"/>
          <w:color w:val="auto"/>
          <w:kern w:val="2"/>
          <w:sz w:val="24"/>
          <w:szCs w:val="24"/>
          <w:highlight w:val="none"/>
          <w:vertAlign w:val="baseline"/>
          <w:em w:val="none"/>
          <w:lang w:val="en-US" w:bidi="ar-SA" w:eastAsia="zh-CN"/>
        </w:rPr>
        <w:t xml:space="preserve">"， </w:t>
      </w:r>
    </w:p>
    <w:p w14:paraId="EFDA78F9">
      <w:pPr>
        <w:pStyle w:val="style0"/>
        <w:kinsoku w:val="false"/>
        <w:autoSpaceDE w:val="false"/>
        <w:autoSpaceDN w:val="false"/>
        <w:adjustRightInd w:val="false"/>
        <w:snapToGrid w:val="false"/>
        <w:spacing w:before="103" w:lineRule="auto" w:line="180"/>
        <w:jc w:val="left"/>
        <w:textAlignment w:val="baseline"/>
        <w:rPr>
          <w:rFonts w:ascii="Calibri" w:cs="Times New Roman" w:eastAsia="宋体" w:hAnsi="Calibri" w:hint="default"/>
          <w:b w:val="false"/>
          <w:bCs w:val="false"/>
          <w:i w:val="false"/>
          <w:iCs w:val="false"/>
          <w:color w:val="auto"/>
          <w:kern w:val="2"/>
          <w:sz w:val="24"/>
          <w:szCs w:val="24"/>
          <w:highlight w:val="none"/>
          <w:vertAlign w:val="baseline"/>
          <w:em w:val="none"/>
          <w:lang w:val="en-US" w:bidi="ar-SA" w:eastAsia="zh-CN"/>
        </w:rPr>
      </w:pPr>
      <w:r>
        <w:rPr>
          <w:rFonts w:ascii="Calibri" w:cs="Times New Roman" w:eastAsia="宋体" w:hAnsi="Calibri" w:hint="default"/>
          <w:b w:val="false"/>
          <w:bCs w:val="false"/>
          <w:i w:val="false"/>
          <w:iCs w:val="false"/>
          <w:color w:val="auto"/>
          <w:kern w:val="2"/>
          <w:sz w:val="24"/>
          <w:szCs w:val="24"/>
          <w:highlight w:val="none"/>
          <w:vertAlign w:val="baseline"/>
          <w:em w:val="none"/>
          <w:lang w:val="en-US" w:bidi="ar-SA" w:eastAsia="zh-CN"/>
        </w:rPr>
        <w:t xml:space="preserve">  </w:t>
      </w:r>
      <w:r>
        <w:rPr>
          <w:rFonts w:ascii="Calibri" w:cs="Times New Roman" w:eastAsia="宋体" w:hAnsi="Calibri" w:hint="default"/>
          <w:b/>
          <w:bCs/>
          <w:i w:val="false"/>
          <w:iCs w:val="false"/>
          <w:color w:val="auto"/>
          <w:kern w:val="2"/>
          <w:sz w:val="24"/>
          <w:szCs w:val="24"/>
          <w:highlight w:val="none"/>
          <w:vertAlign w:val="baseline"/>
          <w:em w:val="none"/>
          <w:lang w:val="en-US" w:bidi="ar-SA" w:eastAsia="zh-CN"/>
        </w:rPr>
        <w:t>拼多多</w:t>
      </w:r>
      <w:r>
        <w:rPr>
          <w:rFonts w:ascii="Calibri" w:cs="Times New Roman" w:eastAsia="宋体" w:hAnsi="Calibri" w:hint="default"/>
          <w:b w:val="false"/>
          <w:bCs w:val="false"/>
          <w:i w:val="false"/>
          <w:iCs w:val="false"/>
          <w:color w:val="auto"/>
          <w:kern w:val="2"/>
          <w:sz w:val="24"/>
          <w:szCs w:val="24"/>
          <w:highlight w:val="none"/>
          <w:vertAlign w:val="baseline"/>
          <w:em w:val="none"/>
          <w:lang w:val="en-US" w:bidi="ar-SA" w:eastAsia="zh-CN"/>
        </w:rPr>
        <w:t>: "上海寻梦信息技术有限公司",统一社会信用码“91310105090037252C”.</w:t>
      </w:r>
    </w:p>
    <w:p w14:paraId="699C1167">
      <w:pPr>
        <w:pStyle w:val="style0"/>
        <w:kinsoku w:val="false"/>
        <w:autoSpaceDE w:val="false"/>
        <w:autoSpaceDN w:val="false"/>
        <w:adjustRightInd w:val="false"/>
        <w:snapToGrid w:val="false"/>
        <w:spacing w:before="103" w:lineRule="auto" w:line="180"/>
        <w:ind w:left="1050" w:leftChars="0"/>
        <w:jc w:val="left"/>
        <w:textAlignment w:val="baseline"/>
        <w:rPr>
          <w:rFonts w:ascii="Calibri" w:cs="Times New Roman" w:eastAsia="宋体" w:hAnsi="Calibri" w:hint="default"/>
          <w:b w:val="false"/>
          <w:bCs w:val="false"/>
          <w:i w:val="false"/>
          <w:iCs w:val="false"/>
          <w:color w:val="auto"/>
          <w:kern w:val="2"/>
          <w:sz w:val="24"/>
          <w:szCs w:val="24"/>
          <w:highlight w:val="none"/>
          <w:vertAlign w:val="baseline"/>
          <w:em w:val="none"/>
          <w:lang w:val="en-US" w:bidi="ar-SA" w:eastAsia="zh-CN"/>
        </w:rPr>
      </w:pPr>
      <w:r>
        <w:rPr>
          <w:rFonts w:ascii="Calibri" w:cs="Times New Roman" w:eastAsia="宋体" w:hAnsi="Calibri" w:hint="default"/>
          <w:b w:val="false"/>
          <w:bCs w:val="false"/>
          <w:i w:val="false"/>
          <w:iCs w:val="false"/>
          <w:color w:val="auto"/>
          <w:kern w:val="2"/>
          <w:sz w:val="24"/>
          <w:szCs w:val="24"/>
          <w:highlight w:val="none"/>
          <w:vertAlign w:val="baseline"/>
          <w:em w:val="none"/>
          <w:lang w:val="en-US" w:bidi="ar-SA" w:eastAsia="zh-CN"/>
        </w:rPr>
        <w:t>美国上市公司(PDD Holdings Inc.)，中国最大综合互联网电商平台之一。</w:t>
      </w:r>
    </w:p>
    <w:p w14:paraId="ABA58E9E">
      <w:pPr>
        <w:pStyle w:val="style0"/>
        <w:kinsoku w:val="false"/>
        <w:autoSpaceDE w:val="false"/>
        <w:autoSpaceDN w:val="false"/>
        <w:adjustRightInd w:val="false"/>
        <w:snapToGrid w:val="false"/>
        <w:spacing w:before="103" w:lineRule="auto" w:line="180"/>
        <w:ind w:left="210" w:leftChars="0"/>
        <w:jc w:val="left"/>
        <w:textAlignment w:val="baseline"/>
        <w:rPr>
          <w:sz w:val="24"/>
          <w:szCs w:val="24"/>
          <w:lang w:val="en-US"/>
        </w:rPr>
      </w:pPr>
      <w:r>
        <w:rPr>
          <w:b/>
          <w:bCs/>
          <w:sz w:val="24"/>
          <w:szCs w:val="24"/>
          <w:lang w:val="en-US"/>
        </w:rPr>
        <w:t>浦东法院</w:t>
      </w:r>
      <w:r>
        <w:rPr>
          <w:sz w:val="24"/>
          <w:szCs w:val="24"/>
          <w:lang w:val="en-US"/>
        </w:rPr>
        <w:t>: "上海市浦东新区人民法院"。人寿财险的管辖地法院。</w:t>
      </w:r>
    </w:p>
    <w:p w14:paraId="3EAFA23A">
      <w:pPr>
        <w:pStyle w:val="style0"/>
        <w:kinsoku w:val="false"/>
        <w:autoSpaceDE w:val="false"/>
        <w:autoSpaceDN w:val="false"/>
        <w:adjustRightInd w:val="false"/>
        <w:snapToGrid w:val="false"/>
        <w:spacing w:before="103" w:lineRule="auto" w:line="180"/>
        <w:jc w:val="left"/>
        <w:textAlignment w:val="baseline"/>
        <w:rPr>
          <w:sz w:val="24"/>
          <w:szCs w:val="24"/>
        </w:rPr>
      </w:pPr>
    </w:p>
    <w:p w14:paraId="B256903A">
      <w:pPr>
        <w:pStyle w:val="style0"/>
        <w:spacing w:lineRule="auto" w:line="240"/>
        <w:jc w:val="both"/>
        <w:rPr>
          <w:sz w:val="24"/>
          <w:szCs w:val="24"/>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起诉请求</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bookmarkStart w:id="0" w:name="_GoBack"/>
      <w:bookmarkEnd w:id="0"/>
    </w:p>
    <w:p w14:paraId="18E1950B">
      <w:pPr>
        <w:pStyle w:val="style179"/>
        <w:numPr>
          <w:ilvl w:val="0"/>
          <w:numId w:val="1"/>
        </w:numPr>
        <w:spacing w:lineRule="auto" w:line="240"/>
        <w:ind w:firstLineChars="0"/>
        <w:jc w:val="both"/>
        <w:rPr>
          <w:sz w:val="24"/>
          <w:szCs w:val="24"/>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被告支付"损失赔偿金(起诉期+</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审理期</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)"人民币</w:t>
      </w:r>
      <w:r>
        <w:rPr>
          <w:rFonts w:ascii="Calibri" w:cs="Arial" w:eastAsia="宋体" w:hAnsi="Calibri" w:hint="default"/>
          <w:b/>
          <w:bCs/>
          <w:i w:val="false"/>
          <w:iCs w:val="false"/>
          <w:color w:val="auto"/>
          <w:kern w:val="2"/>
          <w:sz w:val="21"/>
          <w:szCs w:val="22"/>
          <w:highlight w:val="none"/>
          <w:vertAlign w:val="baseline"/>
          <w:em w:val="none"/>
          <w:lang w:val="en-US" w:bidi="ar-SA" w:eastAsia="zh-CN"/>
        </w:rPr>
        <w:t>6394500</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元人民币。</w:t>
      </w:r>
    </w:p>
    <w:p w14:paraId="DDBC0258">
      <w:pPr>
        <w:pStyle w:val="style179"/>
        <w:numPr>
          <w:ilvl w:val="0"/>
          <w:numId w:val="1"/>
        </w:numPr>
        <w:spacing w:lineRule="auto" w:line="240"/>
        <w:ind w:firstLineChars="0"/>
        <w:jc w:val="both"/>
        <w:rPr>
          <w:sz w:val="24"/>
          <w:szCs w:val="24"/>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被告承担因本案造成的其它成本和费用(例如律师费、诉讼费交通费等)。</w:t>
      </w:r>
    </w:p>
    <w:p w14:paraId="84A7861E">
      <w:pPr>
        <w:pStyle w:val="style179"/>
        <w:numPr>
          <w:ilvl w:val="0"/>
          <w:numId w:val="1"/>
        </w:numPr>
        <w:spacing w:lineRule="auto" w:line="240"/>
        <w:ind w:firstLineChars="0"/>
        <w:jc w:val="both"/>
        <w:rPr>
          <w:sz w:val="24"/>
          <w:szCs w:val="24"/>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原告保留已诉请之外的其他所有权利。</w:t>
      </w:r>
    </w:p>
    <w:p w14:paraId="8F3607F8">
      <w:pPr>
        <w:pStyle w:val="style179"/>
        <w:numPr>
          <w:ilvl w:val="0"/>
          <w:numId w:val="1"/>
        </w:numPr>
        <w:spacing w:lineRule="auto" w:line="240"/>
        <w:ind w:firstLineChars="0"/>
        <w:jc w:val="both"/>
        <w:rPr>
          <w:sz w:val="24"/>
          <w:szCs w:val="24"/>
        </w:rPr>
      </w:pPr>
      <w:r>
        <w:rPr>
          <w:sz w:val="24"/>
          <w:szCs w:val="24"/>
          <w:lang w:val="en-US"/>
        </w:rPr>
        <w:t>被告撤销无效保险合同，停止欺骗交易行为。依法公开。</w:t>
      </w:r>
    </w:p>
    <w:p w14:paraId="6D3899A4">
      <w:pPr>
        <w:pStyle w:val="style0"/>
        <w:spacing w:lineRule="auto" w:line="240"/>
        <w:jc w:val="both"/>
        <w:rPr>
          <w:sz w:val="24"/>
          <w:szCs w:val="24"/>
        </w:rPr>
      </w:pPr>
    </w:p>
    <w:p w14:paraId="41C1F226">
      <w:pPr>
        <w:pStyle w:val="style0"/>
        <w:spacing w:lineRule="auto" w:line="240"/>
        <w:jc w:val="both"/>
        <w:rPr>
          <w:sz w:val="24"/>
          <w:szCs w:val="24"/>
        </w:rPr>
      </w:pPr>
      <w:r>
        <w:rPr>
          <w:b/>
          <w:bCs/>
          <w:sz w:val="24"/>
          <w:szCs w:val="24"/>
          <w:lang w:val="en-US"/>
        </w:rPr>
        <w:t>适用法律法规的条款项目</w:t>
      </w:r>
      <w:r>
        <w:rPr>
          <w:sz w:val="24"/>
          <w:szCs w:val="24"/>
          <w:lang w:val="en-US"/>
        </w:rPr>
        <w:t>:</w:t>
      </w:r>
    </w:p>
    <w:p w14:paraId="4567B0B2">
      <w:pPr>
        <w:pStyle w:val="style0"/>
        <w:spacing w:lineRule="auto" w:line="240"/>
        <w:jc w:val="both"/>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《民法典》</w:t>
      </w:r>
    </w:p>
    <w:p w14:paraId="E117FF6F">
      <w:pPr>
        <w:pStyle w:val="style0"/>
        <w:spacing w:lineRule="auto" w:line="240"/>
        <w:jc w:val="both"/>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u w:val="single"/>
          <w:vertAlign w:val="baseline"/>
          <w:em w:val="none"/>
          <w:lang w:val="en-US" w:bidi="ar-SA" w:eastAsia="zh-CN"/>
        </w:rPr>
        <w:t>第一百四十八条、第一百四十九条、第一百五十四条</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串通的虚假"正品保险"无效。</w:t>
      </w:r>
    </w:p>
    <w:p w14:paraId="42442D4F">
      <w:pPr>
        <w:pStyle w:val="style0"/>
        <w:spacing w:lineRule="auto" w:line="240"/>
        <w:ind w:left="210" w:leftChars="0"/>
        <w:jc w:val="both"/>
        <w:rPr/>
      </w:pPr>
      <w:r>
        <w:rPr>
          <w:rFonts w:ascii="Times New Roman" w:cs="Times New Roman" w:eastAsia="宋体" w:hAnsi="Times New Roman" w:hint="default"/>
          <w:b w:val="false"/>
          <w:bCs w:val="false"/>
          <w:i w:val="false"/>
          <w:iCs w:val="false"/>
          <w:color w:val="auto"/>
          <w:kern w:val="2"/>
          <w:sz w:val="24"/>
          <w:szCs w:val="24"/>
          <w:highlight w:val="none"/>
          <w:u w:val="single"/>
          <w:vertAlign w:val="baseline"/>
          <w:em w:val="none"/>
          <w:lang w:val="en-US" w:bidi="ar-SA" w:eastAsia="zh-CN"/>
        </w:rPr>
        <w:t>第一百八十六条</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  被告违约不赔付，损害原告财产权益承担侵权责任。</w:t>
      </w:r>
    </w:p>
    <w:p w14:paraId="1061AE16">
      <w:pPr>
        <w:pStyle w:val="style0"/>
        <w:spacing w:lineRule="auto" w:line="240"/>
        <w:jc w:val="both"/>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u w:val="single"/>
          <w:vertAlign w:val="baseline"/>
          <w:em w:val="none"/>
          <w:lang w:val="en-US" w:bidi="ar-SA" w:eastAsia="zh-CN"/>
        </w:rPr>
        <w:t>第四百九十七条第二和第三款</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不当格式条款无效。</w:t>
      </w:r>
    </w:p>
    <w:p w14:paraId="119CB53D">
      <w:pPr>
        <w:pStyle w:val="style0"/>
        <w:spacing w:lineRule="auto" w:line="240"/>
        <w:ind w:left="210" w:leftChars="0"/>
        <w:jc w:val="both"/>
        <w:rPr/>
      </w:pPr>
      <w:r>
        <w:rPr>
          <w:rFonts w:ascii="Times New Roman" w:cs="Times New Roman" w:eastAsia="宋体" w:hAnsi="Times New Roman" w:hint="default"/>
          <w:b w:val="false"/>
          <w:bCs w:val="false"/>
          <w:i w:val="false"/>
          <w:iCs w:val="false"/>
          <w:color w:val="auto"/>
          <w:kern w:val="2"/>
          <w:sz w:val="24"/>
          <w:szCs w:val="24"/>
          <w:highlight w:val="none"/>
          <w:u w:val="single"/>
          <w:vertAlign w:val="baseline"/>
          <w:em w:val="none"/>
          <w:lang w:val="en-US" w:bidi="ar-SA" w:eastAsia="zh-CN"/>
        </w:rPr>
        <w:t>第四百九十八条</w:t>
      </w:r>
      <w:r>
        <w:rPr>
          <w:rFonts w:ascii="Times New Roman" w:cs="Times New Roman" w:eastAsia="宋体" w:hAnsi="Times New Roman" w:hint="default"/>
          <w:b w:val="false"/>
          <w:bCs w:val="false"/>
          <w:i w:val="false"/>
          <w:iCs w:val="false"/>
          <w:color w:val="auto"/>
          <w:kern w:val="2"/>
          <w:sz w:val="24"/>
          <w:szCs w:val="24"/>
          <w:highlight w:val="none"/>
          <w:u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格式条款理解争议，保护提供格式条款一方的相对方。</w:t>
      </w:r>
    </w:p>
    <w:p w14:paraId="78743ECD">
      <w:pPr>
        <w:pStyle w:val="style0"/>
        <w:spacing w:lineRule="auto" w:line="240"/>
        <w:ind w:left="210" w:leftChars="0"/>
        <w:jc w:val="both"/>
        <w:rPr/>
      </w:pPr>
      <w:r>
        <w:rPr>
          <w:rFonts w:ascii="Times New Roman" w:cs="Times New Roman" w:eastAsia="宋体" w:hAnsi="Times New Roman" w:hint="default"/>
          <w:b w:val="false"/>
          <w:bCs w:val="false"/>
          <w:i w:val="false"/>
          <w:iCs w:val="false"/>
          <w:color w:val="auto"/>
          <w:kern w:val="2"/>
          <w:sz w:val="24"/>
          <w:szCs w:val="24"/>
          <w:highlight w:val="none"/>
          <w:u w:val="single"/>
          <w:vertAlign w:val="baseline"/>
          <w:em w:val="none"/>
          <w:lang w:val="en-US" w:bidi="ar-SA" w:eastAsia="zh-CN"/>
        </w:rPr>
        <w:t>第五百条第二和第三款、第一百五十七条</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虚假保险造成对方损失应当赔偿。</w:t>
      </w:r>
    </w:p>
    <w:p w14:paraId="DA05D749">
      <w:pPr>
        <w:pStyle w:val="style0"/>
        <w:spacing w:lineRule="auto" w:line="240"/>
        <w:jc w:val="both"/>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《保险法》</w:t>
      </w:r>
    </w:p>
    <w:p w14:paraId="DCDDBD86">
      <w:pPr>
        <w:pStyle w:val="style0"/>
        <w:spacing w:lineRule="auto" w:line="240"/>
        <w:ind w:left="210" w:leftChars="0"/>
        <w:jc w:val="both"/>
        <w:rPr/>
      </w:pPr>
      <w:r>
        <w:rPr>
          <w:rFonts w:ascii="Times New Roman" w:cs="Times New Roman" w:eastAsia="宋体" w:hAnsi="Times New Roman" w:hint="default"/>
          <w:b w:val="false"/>
          <w:bCs w:val="false"/>
          <w:i w:val="false"/>
          <w:iCs w:val="false"/>
          <w:color w:val="auto"/>
          <w:kern w:val="2"/>
          <w:sz w:val="24"/>
          <w:szCs w:val="24"/>
          <w:highlight w:val="none"/>
          <w:u w:val="single"/>
          <w:vertAlign w:val="baseline"/>
          <w:em w:val="none"/>
          <w:lang w:val="en-US" w:bidi="ar-SA" w:eastAsia="zh-CN"/>
        </w:rPr>
        <w:t>第四条</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保险活动必须尊重社会公德，不得损害社会公共利益。</w:t>
      </w:r>
    </w:p>
    <w:p w14:paraId="690E8CE1">
      <w:pPr>
        <w:pStyle w:val="style0"/>
        <w:spacing w:lineRule="auto" w:line="240"/>
        <w:ind w:left="210" w:leftChars="0"/>
        <w:jc w:val="both"/>
        <w:rPr/>
      </w:pPr>
      <w:r>
        <w:rPr>
          <w:rFonts w:ascii="Times New Roman" w:cs="Times New Roman" w:eastAsia="宋体" w:hAnsi="Times New Roman" w:hint="default"/>
          <w:b w:val="false"/>
          <w:bCs w:val="false"/>
          <w:i w:val="false"/>
          <w:iCs w:val="false"/>
          <w:color w:val="auto"/>
          <w:kern w:val="2"/>
          <w:sz w:val="24"/>
          <w:szCs w:val="24"/>
          <w:highlight w:val="none"/>
          <w:u w:val="single"/>
          <w:vertAlign w:val="baseline"/>
          <w:em w:val="none"/>
          <w:lang w:val="en-US" w:bidi="ar-SA" w:eastAsia="zh-CN"/>
        </w:rPr>
        <w:t>第十一条</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订立保险合同应当遵循公平原则确定各方的权利和义务。</w:t>
      </w:r>
    </w:p>
    <w:p w14:paraId="7B506090">
      <w:pPr>
        <w:pStyle w:val="style0"/>
        <w:spacing w:lineRule="auto" w:line="240"/>
        <w:ind w:left="210" w:leftChars="0"/>
        <w:jc w:val="both"/>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4"/>
          <w:szCs w:val="24"/>
          <w:highlight w:val="none"/>
          <w:u w:val="single"/>
          <w:vertAlign w:val="baseline"/>
          <w:em w:val="none"/>
          <w:lang w:val="en-US" w:bidi="ar-SA" w:eastAsia="zh-CN"/>
        </w:rPr>
        <w:t>第十二条第二款</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财险的被保险人在保险事故发生时，对保险标的没有保险利益。</w:t>
      </w:r>
    </w:p>
    <w:p w14:paraId="811AB5D9">
      <w:pPr>
        <w:pStyle w:val="style0"/>
        <w:spacing w:lineRule="auto" w:line="240"/>
        <w:ind w:left="210" w:leftChars="0"/>
        <w:jc w:val="both"/>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4"/>
          <w:szCs w:val="24"/>
          <w:highlight w:val="none"/>
          <w:u w:val="single"/>
          <w:vertAlign w:val="baseline"/>
          <w:em w:val="none"/>
          <w:lang w:val="en-US" w:bidi="ar-SA" w:eastAsia="zh-CN"/>
        </w:rPr>
        <w:t>第十九条第一款和第二款</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不当格式条款无效。</w:t>
      </w:r>
    </w:p>
    <w:p w14:paraId="FEF64265">
      <w:pPr>
        <w:pStyle w:val="style0"/>
        <w:spacing w:lineRule="auto" w:line="240"/>
        <w:ind w:left="210" w:leftChars="0"/>
        <w:jc w:val="both"/>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4"/>
          <w:szCs w:val="24"/>
          <w:highlight w:val="none"/>
          <w:u w:val="single" w:color="auto"/>
          <w:vertAlign w:val="baseline"/>
          <w:em w:val="none"/>
          <w:lang w:val="en-US" w:bidi="ar-SA" w:eastAsia="zh-CN"/>
        </w:rPr>
        <w:t>第三十条</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格式条款理解争议，保护提供格式条款一方的相对方。</w:t>
      </w:r>
    </w:p>
    <w:p w14:paraId="E19123E2">
      <w:pPr>
        <w:pStyle w:val="style0"/>
        <w:spacing w:lineRule="auto" w:line="240"/>
        <w:jc w:val="both"/>
        <w:rPr>
          <w:sz w:val="24"/>
          <w:szCs w:val="24"/>
        </w:rPr>
      </w:pPr>
    </w:p>
    <w:p w14:paraId="826996EF">
      <w:pPr>
        <w:pStyle w:val="style0"/>
        <w:spacing w:lineRule="auto" w:line="240"/>
        <w:jc w:val="both"/>
        <w:rPr>
          <w:sz w:val="24"/>
          <w:szCs w:val="24"/>
        </w:rPr>
      </w:pPr>
    </w:p>
    <w:p w14:paraId="91334815">
      <w:pPr>
        <w:pStyle w:val="style0"/>
        <w:spacing w:lineRule="auto" w:line="240"/>
        <w:jc w:val="both"/>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事实与理由</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p>
    <w:p w14:paraId="F2F6C5E3">
      <w:pPr>
        <w:pStyle w:val="style0"/>
        <w:spacing w:lineRule="auto" w:line="240"/>
        <w:jc w:val="both"/>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理由:</w:t>
      </w:r>
    </w:p>
    <w:p w14:paraId="6B72B536">
      <w:pPr>
        <w:pStyle w:val="style179"/>
        <w:numPr>
          <w:ilvl w:val="0"/>
          <w:numId w:val="8"/>
        </w:numPr>
        <w:spacing w:lineRule="auto" w:line="240"/>
        <w:ind w:firstLineChars="0"/>
        <w:jc w:val="both"/>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拼多多与中国人寿财险在拼多多应用上提供的</w:t>
      </w: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"正品险保障"实为虚假(无效)保险</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。本质等于</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"买到'非正品'仅退款"。而这是国家法律就能强制保障的。</w:t>
      </w:r>
    </w:p>
    <w:p w14:paraId="7C4549D6">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4"/>
          <w:szCs w:val="24"/>
          <w:highlight w:val="none"/>
          <w:u w:val="single" w:color="auto"/>
          <w:vertAlign w:val="baseline"/>
          <w:em w:val="none"/>
          <w:lang w:val="en-US" w:bidi="ar-SA" w:eastAsia="zh-CN"/>
        </w:rPr>
        <w:t>因为根据拼多多公开正品保险合同的"保险责任"的4个条件，只要"拼多多'假一退一'</w:t>
      </w:r>
      <w:r>
        <w:rPr>
          <w:rFonts w:ascii="Times New Roman" w:cs="Times New Roman" w:eastAsia="宋体" w:hAnsi="Times New Roman" w:hint="default"/>
          <w:b w:val="false"/>
          <w:bCs w:val="false"/>
          <w:i w:val="false"/>
          <w:iCs w:val="false"/>
          <w:color w:val="auto"/>
          <w:kern w:val="2"/>
          <w:sz w:val="24"/>
          <w:szCs w:val="24"/>
          <w:highlight w:val="none"/>
          <w:u w:val="single" w:color="auto"/>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4"/>
          <w:szCs w:val="24"/>
          <w:highlight w:val="none"/>
          <w:u w:val="single" w:color="auto"/>
          <w:vertAlign w:val="baseline"/>
          <w:em w:val="none"/>
          <w:lang w:val="en-US" w:bidi="ar-SA" w:eastAsia="zh-CN"/>
        </w:rPr>
        <w:t>就使'正品保险合同无责'"。</w:t>
      </w: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而'假一退一'是"国家法律强制保障的"</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，因此拼多多肯定'假一退一'，</w:t>
      </w: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最终使"正品保险合同"不会有任何实质的风险保障</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p>
    <w:p w14:paraId="0EBA2FED">
      <w:pPr>
        <w:pStyle w:val="style179"/>
        <w:numPr>
          <w:ilvl w:val="0"/>
          <w:numId w:val="8"/>
        </w:numPr>
        <w:spacing w:lineRule="auto" w:line="240"/>
        <w:ind w:firstLineChars="0"/>
        <w:jc w:val="both"/>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被告和拼多多因为"正品险交易订单"取得的有关利益，就是"不当得利"。</w:t>
      </w:r>
    </w:p>
    <w:p w14:paraId="78140824">
      <w:pPr>
        <w:pStyle w:val="style0"/>
        <w:spacing w:lineRule="auto" w:line="240"/>
        <w:ind w:firstLine="420" w:firstLineChars="0"/>
        <w:jc w:val="both"/>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被告以"无效保险得利巨大"的事实，不仅不符合市场经济、民事法律权利和</w:t>
      </w:r>
    </w:p>
    <w:p w14:paraId="D39A6C17">
      <w:pPr>
        <w:pStyle w:val="style0"/>
        <w:spacing w:lineRule="auto" w:line="240"/>
        <w:ind w:firstLine="420" w:firstLineChars="0"/>
        <w:jc w:val="both"/>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行为，也违反保险行业规则</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和</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社会公德及通常。</w:t>
      </w:r>
    </w:p>
    <w:p w14:paraId="96F9C648">
      <w:pPr>
        <w:pStyle w:val="style0"/>
        <w:spacing w:lineRule="auto" w:line="240"/>
        <w:ind w:firstLine="420" w:firstLineChars="0"/>
        <w:jc w:val="both"/>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被告以虚假的"正品保险合同"误导消费者认知，欺骗全球消费者。</w:t>
      </w:r>
    </w:p>
    <w:p w14:paraId="2E83BA2C">
      <w:pPr>
        <w:pStyle w:val="style0"/>
        <w:spacing w:lineRule="auto" w:line="240"/>
        <w:ind w:firstLine="420" w:firstLineChars="0"/>
        <w:jc w:val="both"/>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包括原告在拼多多平台上交易订单号"250624-582179888711450")交易。</w:t>
      </w:r>
    </w:p>
    <w:p w14:paraId="F76B0764">
      <w:pPr>
        <w:pStyle w:val="style179"/>
        <w:numPr>
          <w:ilvl w:val="0"/>
          <w:numId w:val="8"/>
        </w:numPr>
        <w:spacing w:lineRule="auto" w:line="240"/>
        <w:ind w:firstLineChars="0"/>
        <w:jc w:val="both"/>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被告设置不正当条件阻碍消费者维权，虚假宣传不正当竞争得利巨大。</w:t>
      </w:r>
    </w:p>
    <w:p w14:paraId="9CD8334A">
      <w:pPr>
        <w:pStyle w:val="style0"/>
        <w:spacing w:lineRule="auto" w:line="240"/>
        <w:jc w:val="both"/>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pPr>
    </w:p>
    <w:p w14:paraId="8E490D34">
      <w:pPr>
        <w:pStyle w:val="style0"/>
        <w:spacing w:lineRule="auto" w:line="240"/>
        <w:jc w:val="both"/>
        <w:rPr>
          <w:sz w:val="24"/>
          <w:szCs w:val="24"/>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事实:</w:t>
      </w:r>
    </w:p>
    <w:p w14:paraId="F60466A9">
      <w:pPr>
        <w:pStyle w:val="style179"/>
        <w:numPr>
          <w:ilvl w:val="0"/>
          <w:numId w:val="4"/>
        </w:numPr>
        <w:spacing w:lineRule="auto" w:line="240"/>
        <w:ind w:firstLineChars="0"/>
        <w:jc w:val="both"/>
        <w:rPr>
          <w:sz w:val="24"/>
          <w:szCs w:val="24"/>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2025年06月24日，原告通过拼多多购买了商家“ACA北美电器云玥专卖店” 销售的"ACA精准厨房电子秤高精度..."款式为"【标充款】</w:t>
      </w:r>
      <w:r>
        <w:rPr>
          <w:rFonts w:ascii="Times New Roman" w:cs="Times New Roman" w:hAnsi="Times New Roman" w:hint="default"/>
          <w:b w:val="false"/>
          <w:bCs w:val="false"/>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【3kg0.1g】省电精准""，共1件，金额为5.42元</w:t>
      </w:r>
      <w:r>
        <w:rPr>
          <w:rFonts w:ascii="Times New Roman" w:cs="Times New Roman" w:hAnsi="Times New Roman" w:hint="default"/>
          <w:b w:val="false"/>
          <w:bCs w:val="false"/>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订单号"250624-582179888711450"。</w:t>
      </w:r>
    </w:p>
    <w:p w14:paraId="1BAA6166">
      <w:pPr>
        <w:pStyle w:val="style179"/>
        <w:numPr>
          <w:ilvl w:val="0"/>
          <w:numId w:val="4"/>
        </w:numPr>
        <w:spacing w:lineRule="auto" w:line="240"/>
        <w:ind w:firstLineChars="0"/>
        <w:jc w:val="both"/>
        <w:rPr>
          <w:sz w:val="24"/>
          <w:szCs w:val="24"/>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该商品页显著位置有显著的"正品险标识"和"正品险由中国人寿财险承保"文字</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p>
    <w:p w14:paraId="B22EEBE1">
      <w:pPr>
        <w:pStyle w:val="style179"/>
        <w:numPr>
          <w:ilvl w:val="0"/>
          <w:numId w:val="0"/>
        </w:numPr>
        <w:spacing w:lineRule="auto" w:line="240"/>
        <w:ind w:left="420" w:firstLine="0" w:firstLineChars="0"/>
        <w:jc w:val="both"/>
        <w:rPr>
          <w:rFonts w:ascii="Times New Roman" w:cs="Times New Roman" w:hAnsi="Times New Roman" w:hint="default"/>
          <w:b w:val="false"/>
          <w:bCs w:val="false"/>
          <w:i w:val="false"/>
          <w:iCs w:val="false"/>
          <w:color w:val="auto"/>
          <w:kern w:val="2"/>
          <w:sz w:val="24"/>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点击该"正品险链接"展示的"正品保险"页面</w:t>
      </w:r>
      <w:r>
        <w:rPr>
          <w:rFonts w:ascii="Times New Roman" w:cs="Times New Roman" w:hAnsi="Times New Roman" w:hint="default"/>
          <w:b w:val="false"/>
          <w:bCs w:val="false"/>
          <w:i w:val="false"/>
          <w:iCs w:val="false"/>
          <w:color w:val="auto"/>
          <w:kern w:val="2"/>
          <w:sz w:val="24"/>
          <w:szCs w:val="24"/>
          <w:highlight w:val="none"/>
          <w:vertAlign w:val="baseline"/>
          <w:em w:val="none"/>
          <w:lang w:val="en-US" w:bidi="ar-SA" w:eastAsia="zh-CN"/>
        </w:rPr>
        <w:t>，其完整内容由已提交证据图片"证据_平台1_正品险_保险说明及理赔*"证实，特此摘要前两段：</w:t>
      </w:r>
    </w:p>
    <w:p w14:paraId="2ABE095A">
      <w:pPr>
        <w:pStyle w:val="style179"/>
        <w:numPr>
          <w:ilvl w:val="0"/>
          <w:numId w:val="0"/>
        </w:numPr>
        <w:spacing w:lineRule="auto" w:line="240"/>
        <w:ind w:left="420" w:firstLine="0" w:firstLineChars="0"/>
        <w:jc w:val="both"/>
        <w:rPr>
          <w:rFonts w:ascii="Times New Roman" w:cs="Times New Roman" w:hAnsi="Times New Roman" w:hint="default"/>
          <w:b w:val="false"/>
          <w:bCs w:val="false"/>
          <w:i w:val="false"/>
          <w:iCs w:val="false"/>
          <w:color w:val="auto"/>
          <w:kern w:val="2"/>
          <w:sz w:val="24"/>
          <w:szCs w:val="24"/>
          <w:highlight w:val="none"/>
          <w:vertAlign w:val="baseline"/>
          <w:em w:val="none"/>
          <w:lang w:val="en-US" w:bidi="ar-SA" w:eastAsia="zh-CN"/>
        </w:rPr>
      </w:pPr>
      <w:r>
        <w:rPr>
          <w:rFonts w:ascii="Times New Roman" w:cs="Times New Roman" w:hAnsi="Times New Roman" w:hint="default"/>
          <w:b w:val="false"/>
          <w:bCs w:val="false"/>
          <w:i w:val="false"/>
          <w:iCs w:val="false"/>
          <w:color w:val="auto"/>
          <w:kern w:val="2"/>
          <w:sz w:val="24"/>
          <w:szCs w:val="24"/>
          <w:highlight w:val="none"/>
          <w:vertAlign w:val="baseline"/>
          <w:em w:val="none"/>
          <w:lang w:val="en-US" w:bidi="ar-SA" w:eastAsia="zh-CN"/>
        </w:rPr>
        <w:t>"</w:t>
      </w:r>
      <w:r>
        <w:rPr>
          <w:rFonts w:ascii="Times New Roman" w:cs="Times New Roman" w:hAnsi="Times New Roman" w:hint="default"/>
          <w:b/>
          <w:bCs/>
          <w:i w:val="false"/>
          <w:iCs w:val="false"/>
          <w:color w:val="auto"/>
          <w:kern w:val="2"/>
          <w:sz w:val="24"/>
          <w:szCs w:val="24"/>
          <w:highlight w:val="none"/>
          <w:vertAlign w:val="baseline"/>
          <w:em w:val="none"/>
          <w:lang w:val="en-US" w:bidi="ar-SA" w:eastAsia="zh-CN"/>
        </w:rPr>
        <w:t>商品正品交易履约保证保险（正品险）</w:t>
      </w:r>
      <w:r>
        <w:rPr>
          <w:rFonts w:ascii="Times New Roman" w:cs="Times New Roman" w:hAnsi="Times New Roman" w:hint="default"/>
          <w:b w:val="false"/>
          <w:bCs w:val="false"/>
          <w:i w:val="false"/>
          <w:iCs w:val="false"/>
          <w:color w:val="auto"/>
          <w:kern w:val="2"/>
          <w:sz w:val="24"/>
          <w:szCs w:val="24"/>
          <w:highlight w:val="none"/>
          <w:vertAlign w:val="baseline"/>
          <w:em w:val="none"/>
          <w:lang w:val="en-US" w:bidi="ar-SA" w:eastAsia="zh-CN"/>
        </w:rPr>
        <w:t>由拼多多联合中国人寿财产保险股份有限公司上海市分公司（中国人寿财险）"共同推出。若消费者在指定店铺内买到非正品，在取得正品鉴定机构提供的鉴定为非正品的报告后可以发起理赔。</w:t>
      </w:r>
    </w:p>
    <w:p w14:paraId="1E22A3B8">
      <w:pPr>
        <w:pStyle w:val="style179"/>
        <w:numPr>
          <w:ilvl w:val="0"/>
          <w:numId w:val="0"/>
        </w:numPr>
        <w:spacing w:lineRule="auto" w:line="240"/>
        <w:ind w:left="420" w:firstLine="0" w:firstLineChars="0"/>
        <w:jc w:val="both"/>
        <w:rPr>
          <w:sz w:val="24"/>
          <w:szCs w:val="24"/>
        </w:rPr>
      </w:pPr>
      <w:r>
        <w:rPr>
          <w:rFonts w:ascii="Times New Roman" w:cs="Times New Roman" w:hAnsi="Times New Roman" w:hint="default"/>
          <w:b/>
          <w:bCs/>
          <w:i w:val="false"/>
          <w:iCs w:val="false"/>
          <w:color w:val="auto"/>
          <w:kern w:val="2"/>
          <w:sz w:val="24"/>
          <w:szCs w:val="24"/>
          <w:highlight w:val="none"/>
          <w:vertAlign w:val="baseline"/>
          <w:em w:val="none"/>
          <w:lang w:val="en-US" w:bidi="ar-SA" w:eastAsia="zh-CN"/>
        </w:rPr>
        <w:t>正品险保险责任</w:t>
      </w:r>
      <w:r>
        <w:rPr>
          <w:rFonts w:ascii="Times New Roman" w:cs="Times New Roman" w:hAnsi="Times New Roman" w:hint="default"/>
          <w:b w:val="false"/>
          <w:bCs w:val="false"/>
          <w:i w:val="false"/>
          <w:iCs w:val="false"/>
          <w:color w:val="auto"/>
          <w:kern w:val="2"/>
          <w:sz w:val="24"/>
          <w:szCs w:val="24"/>
          <w:highlight w:val="none"/>
          <w:vertAlign w:val="baseline"/>
          <w:em w:val="none"/>
          <w:lang w:val="en-US" w:bidi="ar-SA" w:eastAsia="zh-CN"/>
        </w:rPr>
        <w:t>: 保险期间内, 消费者在拼多多购买商品, 商品有正品险标识，但经正品鉴定机构认定为非正品, 且拼多多未能依据相关法律或服务承诺按期返还消费者已支付的该商品价款的, 中国人寿财险按照保险合同约定负责赔偿"</w:t>
      </w:r>
    </w:p>
    <w:p w14:paraId="227FD00A">
      <w:pPr>
        <w:pStyle w:val="style179"/>
        <w:numPr>
          <w:ilvl w:val="0"/>
          <w:numId w:val="4"/>
        </w:numPr>
        <w:spacing w:lineRule="auto" w:line="240"/>
        <w:ind w:firstLineChars="0"/>
        <w:jc w:val="both"/>
        <w:rPr>
          <w:sz w:val="24"/>
          <w:szCs w:val="24"/>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到货验收发现并确认是"假冒伪劣商品"</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p>
    <w:p w14:paraId="404EE8F9">
      <w:pPr>
        <w:pStyle w:val="style179"/>
        <w:numPr>
          <w:ilvl w:val="0"/>
          <w:numId w:val="4"/>
        </w:numPr>
        <w:spacing w:lineRule="auto" w:line="240"/>
        <w:ind w:firstLineChars="0"/>
        <w:jc w:val="both"/>
        <w:rPr>
          <w:sz w:val="24"/>
          <w:szCs w:val="24"/>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拼多多平台串通持"中央金融"牌的"中国人寿财险"信誉承保的"虚假正品保险合同"欺骗交易，还能"阻止任何赔付"。绕过"任何实质保险责任"。极大不正当得利。</w:t>
      </w:r>
    </w:p>
    <w:p w14:paraId="64DC904D">
      <w:pPr>
        <w:pStyle w:val="style179"/>
        <w:numPr>
          <w:ilvl w:val="0"/>
          <w:numId w:val="4"/>
        </w:numPr>
        <w:spacing w:lineRule="auto" w:line="240"/>
        <w:ind w:firstLineChars="0"/>
        <w:jc w:val="both"/>
        <w:rPr>
          <w:sz w:val="24"/>
          <w:szCs w:val="24"/>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虚假"正品险保障"导致事实上的"虚假宣传"</w:t>
      </w:r>
      <w:r>
        <w:rPr>
          <w:rFonts w:ascii="Times New Roman" w:cs="Times New Roman" w:hAnsi="Times New Roman" w:hint="default"/>
          <w:b w:val="false"/>
          <w:bCs w:val="false"/>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违反"反不正当竞争法"。 </w:t>
      </w:r>
    </w:p>
    <w:p w14:paraId="289E20F2">
      <w:pPr>
        <w:pStyle w:val="style179"/>
        <w:numPr>
          <w:ilvl w:val="0"/>
          <w:numId w:val="4"/>
        </w:numPr>
        <w:spacing w:lineRule="auto" w:line="240"/>
        <w:ind w:firstLineChars="0"/>
        <w:jc w:val="both"/>
        <w:rPr>
          <w:sz w:val="24"/>
          <w:szCs w:val="24"/>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"该保险合同"要求消费者提供"正品鉴定机构的正品报告"是阻碍消费者正当维权，显示不公正、不平等的。应当由"处于市场支配地位的"人寿财险或拼多多提供正品鉴定报告。</w:t>
      </w:r>
    </w:p>
    <w:p w14:paraId="2EB5EA44">
      <w:pPr>
        <w:pStyle w:val="style179"/>
        <w:numPr>
          <w:ilvl w:val="0"/>
          <w:numId w:val="4"/>
        </w:numPr>
        <w:spacing w:lineRule="auto" w:line="240"/>
        <w:ind w:firstLineChars="0"/>
        <w:jc w:val="both"/>
        <w:rPr>
          <w:sz w:val="24"/>
          <w:szCs w:val="24"/>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拼多多平台上全世界的消费者的权益，过去、现在以及可预见的未来一段时期，都受到"虚假正品保险合同"的欺诈交易。</w:t>
      </w:r>
    </w:p>
    <w:p w14:paraId="52D06FAC">
      <w:pPr>
        <w:pStyle w:val="style179"/>
        <w:numPr>
          <w:ilvl w:val="0"/>
          <w:numId w:val="4"/>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起诉期+审理期用时估计:</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70天</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78CC46D3">
      <w:pPr>
        <w:pStyle w:val="style0"/>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起诉期用时30天</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2025-07-11起,</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主动寻求调解、举报、起草文件填表,</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准备起诉状,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p>
    <w:p w14:paraId="9493C924">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7月21日在"浦东法院"首次提交立案申请</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，经过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四次提交</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，07-22</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终在"本院"完成立案。</w:t>
      </w:r>
    </w:p>
    <w:p w14:paraId="FB4B6A13">
      <w:pPr>
        <w:pStyle w:val="style179"/>
        <w:numPr>
          <w:ilvl w:val="0"/>
          <w:numId w:val="0"/>
        </w:numPr>
        <w:spacing w:lineRule="auto" w:line="240"/>
        <w:ind w:left="420" w:firstLine="0" w:firstLineChars="0"/>
        <w:jc w:val="both"/>
        <w:rPr>
          <w:sz w:val="24"/>
          <w:szCs w:val="24"/>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审理期用时40天:</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全国首家互联网法院"杭州互联网法院"统计，网审案平均用39.2天。</w:t>
      </w:r>
    </w:p>
    <w:p w14:paraId="8403CD9C">
      <w:pPr>
        <w:pStyle w:val="style179"/>
        <w:numPr>
          <w:ilvl w:val="0"/>
          <w:numId w:val="4"/>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赔偿损失的参照模型</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6D779110">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原告提供两种损失赔偿模型(</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分别参照</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"每一被告的法定代表人的"</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和</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"原告的"收入</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565F809C">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①</w:t>
      </w:r>
      <w:r>
        <w:rPr>
          <w:rFonts w:ascii="Calibri" w:cs="Arial" w:eastAsia="宋体" w:hAnsi="Calibri" w:hint="default"/>
          <w:b/>
          <w:bCs/>
          <w:i w:val="false"/>
          <w:iCs w:val="false"/>
          <w:color w:val="auto"/>
          <w:kern w:val="2"/>
          <w:sz w:val="21"/>
          <w:szCs w:val="22"/>
          <w:highlight w:val="none"/>
          <w:vertAlign w:val="baseline"/>
          <w:em w:val="none"/>
          <w:lang w:val="en-US" w:bidi="ar-SA" w:eastAsia="zh-CN"/>
        </w:rPr>
        <w:t>法院可以要每一方被告提供其法定代表人的年收入作为惩罚性赔偿参考基准</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F54CCE1A">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②</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原告保守估计现年收入:</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383.65万元/年,</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根据历史薪资计算年均增长率估计模型:</w:t>
      </w:r>
    </w:p>
    <w:p w14:paraId="4C08CF97">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2008年月薪7000，2018年月薪10万,</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即年均增长15.49%</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E306C7BA">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估计2025年月薪274040;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换算成日薪:</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0.9135万元/天</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，或大约</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27.40万元/月。</w:t>
      </w:r>
    </w:p>
    <w:p w14:paraId="A4D3354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惩罚性赔偿损失的放大系数合理值设为:</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10.0(罚赔十倍)</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CC890FF8">
      <w:pPr>
        <w:pStyle w:val="style0"/>
        <w:spacing w:lineRule="auto" w:line="240"/>
        <w:jc w:val="both"/>
        <w:rPr>
          <w:sz w:val="24"/>
          <w:szCs w:val="24"/>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则任一被告分担损失赔偿金额</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6394500.00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元[</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10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（30+40)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×0.9135×10000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7AA39FEF">
      <w:pPr>
        <w:pStyle w:val="style179"/>
        <w:numPr>
          <w:ilvl w:val="0"/>
          <w:numId w:val="4"/>
        </w:numPr>
        <w:spacing w:lineRule="auto" w:line="240"/>
        <w:ind w:firstLineChars="0"/>
        <w:jc w:val="both"/>
        <w:rPr>
          <w:sz w:val="24"/>
          <w:szCs w:val="24"/>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根据全国首家互联网法院"杭州互联网法院"统计数据，网审案平均用时 39.2 天.</w:t>
      </w:r>
    </w:p>
    <w:p w14:paraId="F5D054D3">
      <w:pPr>
        <w:pStyle w:val="style179"/>
        <w:numPr>
          <w:ilvl w:val="0"/>
          <w:numId w:val="4"/>
        </w:numPr>
        <w:spacing w:lineRule="auto" w:line="240"/>
        <w:ind w:firstLineChars="0"/>
        <w:jc w:val="both"/>
        <w:rPr>
          <w:sz w:val="24"/>
          <w:szCs w:val="24"/>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请法院将被告侵害社会公共利益的公益诉讼线索，转报给有管辖权的检察院一并提起公诉; 因为被告联合拼多多以虚假"正品保险合同"误导与欺骗全球消费者交易并侵占他们权利.</w:t>
      </w:r>
    </w:p>
    <w:p w14:paraId="82B84912">
      <w:pPr>
        <w:pStyle w:val="style0"/>
        <w:ind w:firstLine="0"/>
        <w:rPr/>
      </w:pPr>
    </w:p>
    <w:p w14:paraId="0B6D4740">
      <w:pPr>
        <w:pStyle w:val="style0"/>
        <w:ind w:firstLine="0"/>
        <w:rPr>
          <w:lang w:val="en-US"/>
        </w:rPr>
      </w:pPr>
      <w:r>
        <w:rPr>
          <w:lang w:val="en-US"/>
        </w:rPr>
        <w:t>证据</w:t>
      </w:r>
    </w:p>
    <w:p w14:paraId="9B1EB094">
      <w:pPr>
        <w:pStyle w:val="style0"/>
        <w:ind w:left="420" w:leftChars="0" w:firstLine="0"/>
        <w:rPr/>
      </w:pPr>
      <w:r>
        <w:rPr>
          <w:lang w:val="en-US"/>
        </w:rPr>
        <w:t>已独立提交。</w:t>
      </w:r>
    </w:p>
    <w:p w14:paraId="A81EFBDF">
      <w:pPr>
        <w:pStyle w:val="style0"/>
        <w:rPr/>
      </w:pPr>
    </w:p>
    <w:p w14:paraId="B6C462BD">
      <w:pPr>
        <w:pStyle w:val="style0"/>
        <w:rPr/>
      </w:pPr>
      <w:r>
        <w:t>此致</w:t>
      </w:r>
    </w:p>
    <w:p w14:paraId="D5A4DD03">
      <w:pPr>
        <w:pStyle w:val="style0"/>
        <w:ind w:left="420" w:leftChars="0"/>
        <w:rPr/>
      </w:pPr>
      <w:r>
        <w:rPr>
          <w:u w:val="single"/>
        </w:rPr>
        <w:t>上海市</w:t>
      </w:r>
      <w:r>
        <w:rPr>
          <w:u w:val="single"/>
          <w:lang w:val="en-US"/>
        </w:rPr>
        <w:t>浦东新</w:t>
      </w:r>
      <w:r>
        <w:rPr>
          <w:u w:val="single"/>
        </w:rPr>
        <w:t>区人民法院</w:t>
      </w:r>
    </w:p>
    <w:p w14:paraId="5FC95713">
      <w:pPr>
        <w:pStyle w:val="style0"/>
        <w:ind w:firstLine="0"/>
        <w:jc w:val="right"/>
        <w:rPr/>
      </w:pPr>
    </w:p>
    <w:p w14:paraId="2E021ED9">
      <w:pPr>
        <w:pStyle w:val="style0"/>
        <w:jc w:val="right"/>
        <w:rPr/>
      </w:pPr>
      <w:r>
        <w:t xml:space="preserve">起诉人(签名): </w:t>
      </w:r>
      <w:r>
        <w:rPr/>
      </w:r>
      <w:r/>
      <w:r>
        <w:rPr/>
      </w:r>
      <w:r>
        <w:rPr/>
        <w:drawing>
          <wp:inline distL="0" distT="0" distB="0" distR="0">
            <wp:extent cx="547540" cy="410653"/>
            <wp:effectExtent l="7986" t="10813" r="8015" b="10765"/>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21426718">
                      <a:off x="0" y="0"/>
                      <a:ext cx="547540" cy="410653"/>
                    </a:xfrm>
                    <a:prstGeom prst="rect"/>
                    <a:ln>
                      <a:noFill/>
                    </a:ln>
                  </pic:spPr>
                </pic:pic>
              </a:graphicData>
            </a:graphic>
          </wp:inline>
        </w:drawing>
      </w:r>
      <w:r>
        <w:rPr/>
      </w:r>
      <w:r>
        <w:rPr/>
      </w:r>
    </w:p>
    <w:p w14:paraId="58358AA7">
      <w:pPr>
        <w:pStyle w:val="style0"/>
        <w:jc w:val="right"/>
        <w:rPr>
          <w:rFonts w:hint="eastAsia"/>
        </w:rPr>
      </w:pPr>
      <w:r>
        <w:t xml:space="preserve">　　　　　　　　 日期: </w:t>
      </w:r>
      <w:r>
        <w:rPr>
          <w:u w:val="single"/>
        </w:rPr>
        <w:t>2025</w:t>
      </w:r>
      <w:r>
        <w:t>年</w:t>
      </w:r>
      <w:r>
        <w:rPr>
          <w:u w:val="single"/>
          <w:lang w:val="en-US"/>
        </w:rPr>
        <w:t>09</w:t>
      </w:r>
      <w:r>
        <w:t>月</w:t>
      </w:r>
      <w:r>
        <w:rPr>
          <w:u w:val="single"/>
          <w:lang w:val="en-US"/>
        </w:rPr>
        <w:t>04</w:t>
      </w:r>
      <w:r>
        <w:t>日</w:t>
      </w:r>
    </w:p>
    <w:sectPr>
      <w:pgSz w:w="12240" w:h="20160" w:orient="portrait"/>
      <w:pgMar w:top="1440" w:right="1800" w:bottom="1440" w:left="1800" w:header="851" w:footer="992"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libri">
    <w:altName w:val="Calibri"/>
    <w:panose1 w:val="020f0502020000030204"/>
    <w:charset w:val="7a"/>
    <w:family w:val="swiss"/>
    <w:pitch w:val="default"/>
    <w:sig w:usb0="E10002FF" w:usb1="4000ACFF" w:usb2="00000009" w:usb3="00000000" w:csb0="2000019F" w:csb1="00000000"/>
  </w:font>
  <w:font w:name="仿宋_GB2312">
    <w:altName w:val="Times New Roman"/>
    <w:panose1 w:val="02020603050000020304"/>
    <w:charset w:val="00"/>
    <w:family w:val="roman"/>
    <w:pitch w:val="variable"/>
    <w:sig w:usb0="20007A87" w:usb1="80000000" w:usb2="00000008" w:usb3="00000000" w:csb0="000001FF" w:csb1="00000000"/>
  </w:font>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start w:val="1"/>
      <w:numFmt w:val="decimal"/>
      <w:lvlText w:val="%1."/>
      <w:lvlJc w:val="left"/>
      <w:pPr>
        <w:tabs>
          <w:tab w:val="left" w:leader="none" w:pos="420"/>
        </w:tabs>
        <w:ind w:left="0" w:firstLine="0"/>
      </w:p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1">
    <w:nsid w:val="00000001"/>
    <w:multiLevelType w:val="hybridMultilevel"/>
    <w:tmpl w:val="33EBB9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91492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AE93D2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 w:numId="6">
    <w:abstractNumId w:val="4"/>
  </w:num>
  <w:num w:numId="7">
    <w:abstractNumId w:val="5"/>
  </w:num>
  <w:num w:numId="8">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76"/>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doNotUseIndentAsNumberingTabStop/>
    <w:useAltKinsokuLineBreakRules/>
    <w:splitPgBreakAndParaMark/>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widowControl w:val="false"/>
      <w:jc w:val="both"/>
    </w:pPr>
    <w:rPr>
      <w:rFonts w:ascii="Times New Roman" w:cs="Times New Roman" w:eastAsia="宋体" w:hAnsi="Times New Roman"/>
      <w:kern w:val="2"/>
      <w:sz w:val="21"/>
      <w:szCs w:val="24"/>
      <w:lang w:val="en-US" w:bidi="ar-SA" w:eastAsia="zh-CN"/>
    </w:rPr>
  </w:style>
  <w:style w:type="paragraph" w:styleId="style1">
    <w:name w:val="heading 1"/>
    <w:basedOn w:val="style0"/>
    <w:next w:val="style0"/>
    <w:pPr>
      <w:keepNext/>
      <w:keepLines/>
      <w:widowControl w:val="false"/>
      <w:spacing w:before="340" w:after="330" w:lineRule="auto" w:line="578"/>
      <w:outlineLvl w:val="0"/>
    </w:pPr>
    <w:rPr>
      <w:b/>
      <w:bCs/>
      <w:kern w:val="44"/>
      <w:sz w:val="44"/>
    </w:rPr>
  </w:style>
  <w:style w:type="paragraph" w:styleId="style2">
    <w:name w:val="heading 2"/>
    <w:basedOn w:val="style0"/>
    <w:next w:val="style0"/>
    <w:pPr>
      <w:keepNext/>
      <w:keepLines/>
      <w:widowControl w:val="false"/>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widowControl w:val="false"/>
      <w:spacing w:before="260" w:after="260" w:lineRule="auto" w:line="415"/>
      <w:outlineLvl w:val="2"/>
    </w:pPr>
    <w:rPr>
      <w:b/>
      <w:sz w:val="32"/>
    </w:rPr>
  </w:style>
  <w:style w:type="character" w:default="1" w:styleId="style65">
    <w:name w:val="Default Paragraph Font"/>
    <w:next w:val="style65"/>
  </w:style>
  <w:style w:type="paragraph" w:styleId="style31">
    <w:name w:val="header"/>
    <w:basedOn w:val="style0"/>
    <w:next w:val="style31"/>
    <w:pPr>
      <w:pBdr>
        <w:bottom w:val="single" w:sz="6" w:space="1" w:color="auto"/>
      </w:pBdr>
      <w:tabs>
        <w:tab w:val="center" w:leader="none" w:pos="4153"/>
        <w:tab w:val="right" w:leader="none" w:pos="8306"/>
      </w:tabs>
      <w:snapToGrid w:val="false"/>
      <w:jc w:val="center"/>
    </w:pPr>
    <w:rPr>
      <w:sz w:val="18"/>
      <w:szCs w:val="18"/>
    </w:rPr>
  </w:style>
  <w:style w:type="paragraph" w:styleId="style32">
    <w:name w:val="footer"/>
    <w:basedOn w:val="style0"/>
    <w:next w:val="style32"/>
    <w:pPr>
      <w:tabs>
        <w:tab w:val="center" w:leader="none" w:pos="4153"/>
        <w:tab w:val="right" w:leader="none" w:pos="8306"/>
      </w:tabs>
      <w:snapToGrid w:val="false"/>
      <w:jc w:val="left"/>
    </w:pPr>
    <w:rPr>
      <w:sz w:val="18"/>
      <w:szCs w:val="18"/>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34</TotalTime>
  <Words>2229</Words>
  <Pages>1</Pages>
  <Characters>2534</Characters>
  <Application>WPS Office</Application>
  <Paragraphs>79</Paragraphs>
  <CharactersWithSpaces>2629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2025-07-11T04:06:30Z</dcterms:created>
  <dc:creator>zhouyun</dc:creator>
  <lastModifiedBy>2312DRA50C</lastModifiedBy>
  <dcterms:modified xsi:type="dcterms:W3CDTF">2025-09-04T10:23:42Z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9321d2a7f5a94d4e9c66163c00cec0ee_23</vt:lpwstr>
  </property>
</Properties>
</file>