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A2E483FE">
      <w:pPr>
        <w:pStyle w:val="style0"/>
        <w:rPr>
          <w:b/>
          <w:bCs/>
          <w:sz w:val="44"/>
          <w:szCs w:val="44"/>
        </w:rPr>
      </w:pPr>
    </w:p>
    <w:p w14:paraId="B7819A17">
      <w:pPr>
        <w:pStyle w:val="style0"/>
        <w:jc w:val="center"/>
        <w:rPr>
          <w:b/>
          <w:bCs/>
          <w:sz w:val="44"/>
          <w:szCs w:val="44"/>
        </w:rPr>
      </w:pPr>
      <w:r>
        <w:rPr>
          <w:b/>
          <w:bCs/>
          <w:sz w:val="44"/>
          <w:szCs w:val="44"/>
        </w:rPr>
        <w:t>民事起诉状</w:t>
      </w:r>
    </w:p>
    <w:p w14:paraId="F8FCFEEF">
      <w:pPr>
        <w:pStyle w:val="style0"/>
        <w:jc w:val="center"/>
        <w:rPr>
          <w:b/>
          <w:bCs/>
          <w:sz w:val="44"/>
          <w:szCs w:val="44"/>
        </w:rPr>
      </w:pPr>
    </w:p>
    <w:p w14:paraId="2807BCB6">
      <w:pPr>
        <w:pStyle w:val="style0"/>
        <w:rPr/>
      </w:pPr>
    </w:p>
    <w:p w14:paraId="A33B42CE">
      <w:pPr>
        <w:pStyle w:val="style0"/>
        <w:rPr/>
      </w:pPr>
      <w:r>
        <w:rPr>
          <w:b/>
          <w:bCs/>
        </w:rPr>
        <w:t>原告</w:t>
      </w:r>
      <w:r>
        <w:t>：何义军、男、1984年02月22日出生、汉族、住四川省成都市高新区天府大道北段18号附10号、电话</w:t>
      </w:r>
      <w:r>
        <w:rPr>
          <w:lang w:val="en-US"/>
        </w:rPr>
        <w:t>19250199051</w:t>
      </w:r>
    </w:p>
    <w:p w14:paraId="A5E4BEEA">
      <w:pPr>
        <w:pStyle w:val="style0"/>
        <w:rPr>
          <w:lang w:val="en-US"/>
        </w:rPr>
      </w:pPr>
      <w:r>
        <w:rPr>
          <w:b/>
          <w:bCs/>
        </w:rPr>
        <w:t>被告</w:t>
      </w:r>
      <w:r>
        <w:t>：中国人寿财产保险股份有限公司上海市分公司，法人代表</w:t>
      </w:r>
      <w:r>
        <w:rPr>
          <w:rFonts w:hint="eastAsia"/>
        </w:rPr>
        <w:t>“杨楠”</w:t>
      </w:r>
      <w:r>
        <w:t>，</w:t>
      </w:r>
      <w:r>
        <w:rPr>
          <w:rFonts w:hint="eastAsia"/>
        </w:rPr>
        <w:t>统一社会信用代码 “91310000662495655</w:t>
      </w:r>
      <w:r>
        <w:rPr>
          <w:rFonts w:hint="default"/>
          <w:lang w:val="en-US"/>
        </w:rPr>
        <w:t>K</w:t>
      </w:r>
      <w:r>
        <w:rPr>
          <w:rFonts w:hint="eastAsia"/>
        </w:rPr>
        <w:t>”</w:t>
      </w:r>
      <w:r>
        <w:t>，</w:t>
      </w:r>
      <w:r>
        <w:rPr>
          <w:lang w:val="en-US"/>
        </w:rPr>
        <w:t>企业类型"股份有限公司分公司(国有控股)", 所属行业"保险业",</w:t>
      </w:r>
    </w:p>
    <w:p w14:paraId="B0947275">
      <w:pPr>
        <w:pStyle w:val="style0"/>
        <w:rPr>
          <w:b/>
          <w:bCs/>
        </w:rPr>
      </w:pPr>
      <w:r>
        <w:rPr>
          <w:lang w:val="en-US"/>
        </w:rPr>
        <w:t xml:space="preserve">工商注册号"310000000092995", 组织机构代码"66249565-5", </w:t>
      </w:r>
      <w:r>
        <w:t>注册地</w:t>
      </w:r>
      <w:r>
        <w:rPr>
          <w:rFonts w:hint="eastAsia"/>
        </w:rPr>
        <w:t>“</w:t>
      </w:r>
      <w:r>
        <w:rPr>
          <w:rFonts w:hint="default"/>
          <w:lang w:val="en-US"/>
        </w:rPr>
        <w:t>中国（上海）自由贸易试验区银城路88号（中国人寿金融中心）16楼、17楼</w:t>
      </w:r>
      <w:r>
        <w:rPr>
          <w:rFonts w:hint="eastAsia"/>
        </w:rPr>
        <w:t>”</w:t>
      </w:r>
    </w:p>
    <w:p w14:paraId="7BEE599E">
      <w:pPr>
        <w:pStyle w:val="style0"/>
        <w:spacing w:lineRule="auto" w:line="240"/>
        <w:jc w:val="both"/>
        <w:rPr/>
      </w:pPr>
    </w:p>
    <w:p w14:paraId="B256903A">
      <w:pPr>
        <w:pStyle w:val="style0"/>
        <w:spacing w:lineRule="auto" w:line="240"/>
        <w:jc w:val="both"/>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起诉请求</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bookmarkStart w:id="0" w:name="_GoBack"/>
      <w:bookmarkEnd w:id="0"/>
    </w:p>
    <w:p w14:paraId="18E1950B">
      <w:pPr>
        <w:pStyle w:val="style179"/>
        <w:numPr>
          <w:ilvl w:val="0"/>
          <w:numId w:val="1"/>
        </w:numPr>
        <w:spacing w:lineRule="auto" w:line="240"/>
        <w:ind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被告支付"损失赔偿金(起诉期)"人民币76659.00(23×3333)元人民币。</w:t>
      </w:r>
    </w:p>
    <w:p w14:paraId="4E20E8D4">
      <w:pPr>
        <w:pStyle w:val="style179"/>
        <w:numPr>
          <w:ilvl w:val="0"/>
          <w:numId w:val="1"/>
        </w:numPr>
        <w:spacing w:lineRule="auto" w:line="240"/>
        <w:ind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被告支付"损失赔偿金(审理期)"</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133320.00(40×3333)元人民币。</w:t>
      </w:r>
    </w:p>
    <w:p w14:paraId="DDBC0258">
      <w:pPr>
        <w:pStyle w:val="style179"/>
        <w:numPr>
          <w:ilvl w:val="0"/>
          <w:numId w:val="1"/>
        </w:numPr>
        <w:spacing w:lineRule="auto" w:line="240"/>
        <w:ind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被告承担因本案造成的其它成本和费用(包括但不限于律师费、诉讼费、交通费等)。</w:t>
      </w:r>
    </w:p>
    <w:p w14:paraId="84A7861E">
      <w:pPr>
        <w:pStyle w:val="style179"/>
        <w:numPr>
          <w:ilvl w:val="0"/>
          <w:numId w:val="1"/>
        </w:numPr>
        <w:spacing w:lineRule="auto" w:line="240"/>
        <w:ind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原告保留已诉请之外的其他所有权利。</w:t>
      </w:r>
    </w:p>
    <w:p w14:paraId="6D3899A4">
      <w:pPr>
        <w:pStyle w:val="style0"/>
        <w:spacing w:lineRule="auto" w:line="240"/>
        <w:jc w:val="both"/>
        <w:rPr/>
      </w:pPr>
    </w:p>
    <w:p w14:paraId="91334815">
      <w:pPr>
        <w:pStyle w:val="style0"/>
        <w:spacing w:lineRule="auto" w:line="240"/>
        <w:jc w:val="both"/>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事实与理由</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F7E733F4">
      <w:pPr>
        <w:pStyle w:val="style0"/>
        <w:spacing w:lineRule="auto" w:line="240"/>
        <w:jc w:val="both"/>
        <w:rPr/>
      </w:pPr>
    </w:p>
    <w:p w14:paraId="8E490D34">
      <w:pPr>
        <w:pStyle w:val="style0"/>
        <w:spacing w:lineRule="auto" w:line="24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事实:</w:t>
      </w:r>
    </w:p>
    <w:p w14:paraId="F60466A9">
      <w:pPr>
        <w:pStyle w:val="style179"/>
        <w:numPr>
          <w:ilvl w:val="0"/>
          <w:numId w:val="4"/>
        </w:numPr>
        <w:spacing w:lineRule="auto" w:line="240"/>
        <w:ind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2025年06月24日，原告通过拼多多平台购买了商家“ACA北美电器云玥专卖店” 销售的"ACA精准厨房电子秤高精度..."款式为"【标充款】</w:t>
      </w:r>
      <w:r>
        <w:rPr>
          <w:rFonts w:ascii="Times New Roman" w:cs="Times New Roman"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【3kg0.1g】省电精准""，共1件，金额为5.42元</w:t>
      </w:r>
      <w:r>
        <w:rPr>
          <w:rFonts w:ascii="Times New Roman" w:cs="Times New Roman"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订单号"250624-582179888711450"。</w:t>
      </w:r>
    </w:p>
    <w:p w14:paraId="1BAA6166">
      <w:pPr>
        <w:pStyle w:val="style179"/>
        <w:numPr>
          <w:ilvl w:val="0"/>
          <w:numId w:val="4"/>
        </w:numPr>
        <w:spacing w:lineRule="auto" w:line="240"/>
        <w:ind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该商品页显著位置有显著的"正品险标识"和"正品险由中国人寿财险承保"文字。</w:t>
      </w:r>
    </w:p>
    <w:p w14:paraId="B22EEBE1">
      <w:pPr>
        <w:pStyle w:val="style179"/>
        <w:numPr>
          <w:ilvl w:val="0"/>
          <w:numId w:val="0"/>
        </w:numPr>
        <w:spacing w:lineRule="auto" w:line="240"/>
        <w:ind w:left="420" w:firstLine="0" w:firstLineChars="0"/>
        <w:jc w:val="both"/>
        <w:rPr>
          <w:rFonts w:ascii="Times New Roman" w:cs="Times New Roman"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点击该"正品险链接"展示的"正品保险"页面</w:t>
      </w:r>
      <w:r>
        <w:rPr>
          <w:rFonts w:ascii="Times New Roman" w:cs="Times New Roman" w:hAnsi="Times New Roman" w:hint="default"/>
          <w:b w:val="false"/>
          <w:bCs w:val="false"/>
          <w:i w:val="false"/>
          <w:iCs w:val="false"/>
          <w:color w:val="auto"/>
          <w:kern w:val="2"/>
          <w:sz w:val="21"/>
          <w:szCs w:val="24"/>
          <w:highlight w:val="none"/>
          <w:vertAlign w:val="baseline"/>
          <w:em w:val="none"/>
          <w:lang w:val="en-US" w:bidi="ar-SA" w:eastAsia="zh-CN"/>
        </w:rPr>
        <w:t>，其完整内容由已提交证据图片"证据_平台1_正品险_保险说明及理赔*"证实，特此摘要前两段：</w:t>
      </w:r>
    </w:p>
    <w:p w14:paraId="2ABE095A">
      <w:pPr>
        <w:pStyle w:val="style179"/>
        <w:numPr>
          <w:ilvl w:val="0"/>
          <w:numId w:val="0"/>
        </w:numPr>
        <w:spacing w:lineRule="auto" w:line="240"/>
        <w:ind w:left="420" w:firstLine="0" w:firstLineChars="0"/>
        <w:jc w:val="both"/>
        <w:rPr>
          <w:rFonts w:ascii="Times New Roman" w:cs="Times New Roman"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hAnsi="Times New Roman" w:hint="default"/>
          <w:b w:val="false"/>
          <w:bCs w:val="false"/>
          <w:i w:val="false"/>
          <w:iCs w:val="false"/>
          <w:color w:val="auto"/>
          <w:kern w:val="2"/>
          <w:sz w:val="21"/>
          <w:szCs w:val="24"/>
          <w:highlight w:val="none"/>
          <w:vertAlign w:val="baseline"/>
          <w:em w:val="none"/>
          <w:lang w:val="en-US" w:bidi="ar-SA" w:eastAsia="zh-CN"/>
        </w:rPr>
        <w:t>"商品正品交易履约保证保险（正品险）由拼多多联合中国人寿财产保险股份有限公司上海市分公司（中国人寿财险）"共同推出。若消费者在指定店铺内买到非正品，在取得正品鉴定机构提供的鉴定为非正品的报告后可以发起理赔。</w:t>
      </w:r>
    </w:p>
    <w:p w14:paraId="1E22A3B8">
      <w:pPr>
        <w:pStyle w:val="style179"/>
        <w:numPr>
          <w:ilvl w:val="0"/>
          <w:numId w:val="0"/>
        </w:numPr>
        <w:spacing w:lineRule="auto" w:line="240"/>
        <w:ind w:left="420" w:firstLine="0" w:firstLineChars="0"/>
        <w:jc w:val="both"/>
        <w:rPr/>
      </w:pPr>
      <w:r>
        <w:rPr>
          <w:rFonts w:ascii="Times New Roman" w:cs="Times New Roman" w:hAnsi="Times New Roman" w:hint="default"/>
          <w:b/>
          <w:bCs/>
          <w:i w:val="false"/>
          <w:iCs w:val="false"/>
          <w:color w:val="auto"/>
          <w:kern w:val="2"/>
          <w:sz w:val="21"/>
          <w:szCs w:val="24"/>
          <w:highlight w:val="none"/>
          <w:vertAlign w:val="baseline"/>
          <w:em w:val="none"/>
          <w:lang w:val="en-US" w:bidi="ar-SA" w:eastAsia="zh-CN"/>
        </w:rPr>
        <w:t>正品险保险责任</w:t>
      </w:r>
      <w:r>
        <w:rPr>
          <w:rFonts w:ascii="Times New Roman" w:cs="Times New Roman" w:hAnsi="Times New Roman" w:hint="default"/>
          <w:b w:val="false"/>
          <w:bCs w:val="false"/>
          <w:i w:val="false"/>
          <w:iCs w:val="false"/>
          <w:color w:val="auto"/>
          <w:kern w:val="2"/>
          <w:sz w:val="21"/>
          <w:szCs w:val="24"/>
          <w:highlight w:val="none"/>
          <w:vertAlign w:val="baseline"/>
          <w:em w:val="none"/>
          <w:lang w:val="en-US" w:bidi="ar-SA" w:eastAsia="zh-CN"/>
        </w:rPr>
        <w:t>: 保险期间内，消费者在拼多多购买商品，商品有正品险标识，但经正品鉴定机构认定为非正品，且拼多多未能依据相关法律或服务承诺按期返还消费者已支付的该商品价款的，中国人寿财险按照保险合同的约定负责赔偿。"。</w:t>
      </w:r>
    </w:p>
    <w:p w14:paraId="227FD00A">
      <w:pPr>
        <w:pStyle w:val="style179"/>
        <w:numPr>
          <w:ilvl w:val="0"/>
          <w:numId w:val="4"/>
        </w:numPr>
        <w:spacing w:lineRule="auto" w:line="240"/>
        <w:ind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到货验收发现并确认是"假冒伪劣商品";</w:t>
      </w:r>
    </w:p>
    <w:p w14:paraId="404EE8F9">
      <w:pPr>
        <w:pStyle w:val="style179"/>
        <w:numPr>
          <w:ilvl w:val="0"/>
          <w:numId w:val="4"/>
        </w:numPr>
        <w:spacing w:lineRule="auto" w:line="240"/>
        <w:ind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拼多多平台串通持"中央金融"牌的"中国人寿财险"信誉承保的"虚假正品</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保险合同"欺骗消费者交易</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还能"阻止任何赔付"。绕过"任何的实质保险责任"。</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极大的不正当得利。</w:t>
      </w:r>
    </w:p>
    <w:p w14:paraId="64DC904D">
      <w:pPr>
        <w:pStyle w:val="style179"/>
        <w:numPr>
          <w:ilvl w:val="0"/>
          <w:numId w:val="4"/>
        </w:numPr>
        <w:spacing w:lineRule="auto" w:line="240"/>
        <w:ind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虚假"正品险保障"导致事实上的"虚假宣传"</w:t>
      </w:r>
      <w:r>
        <w:rPr>
          <w:rFonts w:ascii="Times New Roman" w:cs="Times New Roman"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违反"反不正当竞争法"。</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p>
    <w:p w14:paraId="289E20F2">
      <w:pPr>
        <w:pStyle w:val="style179"/>
        <w:numPr>
          <w:ilvl w:val="0"/>
          <w:numId w:val="4"/>
        </w:numPr>
        <w:spacing w:lineRule="auto" w:line="240"/>
        <w:ind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"该保险合同"要求消费者提供"正品鉴定机构的正品报告"是阻碍消费者正当维权</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显示不公正、不平等的。应当由"处于市场支配地位的"人寿财险或拼多多提供正品鉴定报告。</w:t>
      </w:r>
    </w:p>
    <w:p w14:paraId="2EB5EA44">
      <w:pPr>
        <w:pStyle w:val="style179"/>
        <w:numPr>
          <w:ilvl w:val="0"/>
          <w:numId w:val="4"/>
        </w:numPr>
        <w:spacing w:lineRule="auto" w:line="240"/>
        <w:ind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拼多多平台上全世界的消费者的权益，过去、现在以及可预见的未来一段时期，都受到"虚假正品保险合同"的欺诈交易。</w:t>
      </w:r>
    </w:p>
    <w:p w14:paraId="AC2AE300">
      <w:pPr>
        <w:pStyle w:val="style179"/>
        <w:numPr>
          <w:ilvl w:val="0"/>
          <w:numId w:val="4"/>
        </w:numPr>
        <w:spacing w:lineRule="auto" w:line="240"/>
        <w:ind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2018年时本人每天收入大概是3333元</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人民币。</w:t>
      </w:r>
    </w:p>
    <w:p w14:paraId="7AA39FEF">
      <w:pPr>
        <w:pStyle w:val="style179"/>
        <w:numPr>
          <w:ilvl w:val="0"/>
          <w:numId w:val="4"/>
        </w:numPr>
        <w:spacing w:lineRule="auto" w:line="240"/>
        <w:ind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根据全国首家互联网法院"杭州互联网法院"的统计数据，网审案平均用时</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39.2</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天.</w:t>
      </w:r>
    </w:p>
    <w:p w14:paraId="F5D054D3">
      <w:pPr>
        <w:pStyle w:val="style179"/>
        <w:numPr>
          <w:ilvl w:val="0"/>
          <w:numId w:val="4"/>
        </w:numPr>
        <w:spacing w:lineRule="auto" w:line="240"/>
        <w:ind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请法院将被告侵害社会公共利益的公益诉讼线索，转报给有管辖权的检察院一并提起公诉;</w:t>
      </w:r>
    </w:p>
    <w:p w14:paraId="8B19E514">
      <w:pPr>
        <w:pStyle w:val="style179"/>
        <w:numPr>
          <w:ilvl w:val="0"/>
          <w:numId w:val="0"/>
        </w:numPr>
        <w:spacing w:lineRule="auto" w:line="240"/>
        <w:ind w:left="420" w:firstLine="0"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因为被告联合拼多多以虚假"正品保险合同"误导与欺骗全球消费者交易并侵占他们权利.</w:t>
      </w:r>
    </w:p>
    <w:p w14:paraId="C9E73371">
      <w:pPr>
        <w:pStyle w:val="style0"/>
        <w:rPr/>
      </w:pPr>
    </w:p>
    <w:p w14:paraId="9448DCCF">
      <w:pPr>
        <w:pStyle w:val="style0"/>
        <w:rPr>
          <w:lang w:val="en-US"/>
        </w:rPr>
      </w:pPr>
      <w:r>
        <w:rPr>
          <w:lang w:val="en-US"/>
        </w:rPr>
        <w:t>理由:</w:t>
      </w:r>
    </w:p>
    <w:p w14:paraId="F09D3638">
      <w:pPr>
        <w:pStyle w:val="style179"/>
        <w:numPr>
          <w:ilvl w:val="0"/>
          <w:numId w:val="6"/>
        </w:numPr>
        <w:spacing w:lineRule="auto" w:line="240"/>
        <w:ind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拼多多</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与中国人寿财险在拼多多平台上提供的</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"正品险保障"实为虚假(无效)保险</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。本质等于</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"买到'非正品'仅退款"。</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而这是国家法律就能强制保障的。</w:t>
      </w:r>
    </w:p>
    <w:p w14:paraId="C18F5373">
      <w:pPr>
        <w:pStyle w:val="style179"/>
        <w:numPr>
          <w:ilvl w:val="0"/>
          <w:numId w:val="0"/>
        </w:numPr>
        <w:spacing w:lineRule="auto" w:line="240"/>
        <w:ind w:left="420" w:firstLine="0" w:firstLineChars="0"/>
        <w:jc w:val="both"/>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u w:val="single" w:color="auto"/>
          <w:vertAlign w:val="baseline"/>
          <w:em w:val="none"/>
          <w:lang w:val="en-US" w:bidi="ar-SA" w:eastAsia="zh-CN"/>
        </w:rPr>
        <w:t>因为根据拼多多公开正品保险合同的"保险责任"的4个条件，只要"拼多多'假一退一'</w:t>
      </w:r>
      <w:r>
        <w:rPr>
          <w:rFonts w:ascii="Times New Roman" w:cs="Times New Roman" w:hAnsi="Times New Roman" w:hint="default"/>
          <w:b w:val="false"/>
          <w:bCs w:val="false"/>
          <w:i w:val="false"/>
          <w:iCs w:val="false"/>
          <w:color w:val="auto"/>
          <w:kern w:val="2"/>
          <w:sz w:val="21"/>
          <w:szCs w:val="24"/>
          <w:highlight w:val="none"/>
          <w:u w:val="single" w:color="auto"/>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u w:val="single" w:color="auto"/>
          <w:vertAlign w:val="baseline"/>
          <w:em w:val="none"/>
          <w:lang w:val="en-US" w:bidi="ar-SA" w:eastAsia="zh-CN"/>
        </w:rPr>
        <w:t>就使'正品保险合同无责'"。</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而'假一退一'是"国家法律强制保障的"</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，因此拼多多肯定'假一退一'</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最终使"正品保险合同"不会有任何实质的风险保障</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351477C5">
      <w:pPr>
        <w:pStyle w:val="style0"/>
        <w:numPr>
          <w:ilvl w:val="0"/>
          <w:numId w:val="0"/>
        </w:numPr>
        <w:spacing w:lineRule="auto" w:line="240"/>
        <w:jc w:val="both"/>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p>
    <w:p w14:paraId="EE8C8906">
      <w:pPr>
        <w:pStyle w:val="style0"/>
        <w:numPr>
          <w:ilvl w:val="0"/>
          <w:numId w:val="0"/>
        </w:numPr>
        <w:spacing w:lineRule="auto" w:line="240"/>
        <w:jc w:val="both"/>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p>
    <w:p w14:paraId="26F6BE68">
      <w:pPr>
        <w:pStyle w:val="style179"/>
        <w:numPr>
          <w:ilvl w:val="0"/>
          <w:numId w:val="6"/>
        </w:numPr>
        <w:spacing w:lineRule="auto" w:line="240"/>
        <w:ind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被告和拼多多因为"正品险交易订单"取得的有关利益，就是"不当得利。</w:t>
      </w:r>
    </w:p>
    <w:p w14:paraId="EE32EC43">
      <w:pPr>
        <w:pStyle w:val="style179"/>
        <w:numPr>
          <w:ilvl w:val="0"/>
          <w:numId w:val="6"/>
        </w:numPr>
        <w:spacing w:lineRule="auto" w:line="240"/>
        <w:ind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被告以"无效保险得利巨大"的事实，不仅不符合市场经济、</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民事法律权利和法律行为</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，也违反保险行业规则</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和</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社会公德及通常。</w:t>
      </w:r>
    </w:p>
    <w:p w14:paraId="691B38E6">
      <w:pPr>
        <w:pStyle w:val="style179"/>
        <w:numPr>
          <w:ilvl w:val="0"/>
          <w:numId w:val="6"/>
        </w:numPr>
        <w:ind w:firstLineChars="0"/>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被告以虚假的"正品保险合同"误导消费者认知，欺骗全球消费者(包括原告,</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在拼多多平台上交易订单号"250624-582179888711450")交易。</w:t>
      </w:r>
    </w:p>
    <w:p w14:paraId="DF040C87">
      <w:pPr>
        <w:pStyle w:val="style179"/>
        <w:numPr>
          <w:ilvl w:val="0"/>
          <w:numId w:val="6"/>
        </w:numPr>
        <w:ind w:firstLineChars="0"/>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被告设置不正当条件阻碍消费者维权，虚假宣传不正当竞争得利巨大。</w:t>
      </w:r>
    </w:p>
    <w:p w14:paraId="5A7F481F">
      <w:pPr>
        <w:pStyle w:val="style0"/>
        <w:numPr>
          <w:ilvl w:val="0"/>
          <w:numId w:val="0"/>
        </w:numPr>
        <w:rPr/>
      </w:pPr>
    </w:p>
    <w:p w14:paraId="4245F125">
      <w:pPr>
        <w:pStyle w:val="style0"/>
        <w:numPr>
          <w:ilvl w:val="0"/>
          <w:numId w:val="0"/>
        </w:numPr>
        <w:rPr>
          <w:lang w:val="en-US"/>
        </w:rPr>
      </w:pPr>
      <w:r>
        <w:rPr>
          <w:lang w:val="en-US"/>
        </w:rPr>
        <w:t>法条:</w:t>
      </w:r>
    </w:p>
    <w:p w14:paraId="F5B5F5BE">
      <w:pPr>
        <w:pStyle w:val="style0"/>
        <w:numPr>
          <w:ilvl w:val="0"/>
          <w:numId w:val="0"/>
        </w:numPr>
        <w:rPr>
          <w:lang w:val="en-US"/>
        </w:rPr>
      </w:pPr>
      <w:r>
        <w:rPr>
          <w:lang w:val="en-US"/>
        </w:rPr>
        <w:t>民法典第一百四十八条、第一百四十九条、</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第一百五十四条 </w:t>
      </w:r>
      <w:r>
        <w:rPr>
          <w:lang w:val="en-US"/>
        </w:rPr>
        <w:t>使串通的虚假"正品保险"无效。</w:t>
      </w:r>
    </w:p>
    <w:p w14:paraId="0EC6923A">
      <w:pPr>
        <w:pStyle w:val="style0"/>
        <w:numPr>
          <w:ilvl w:val="0"/>
          <w:numId w:val="0"/>
        </w:numP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民法典第四百九十七条第二和第三款、保险法第十九条第一款和第二款 不当的格式条款无效。</w:t>
      </w:r>
    </w:p>
    <w:p w14:paraId="6D82EA58">
      <w:pPr>
        <w:pStyle w:val="style0"/>
        <w:numPr>
          <w:ilvl w:val="0"/>
          <w:numId w:val="0"/>
        </w:numP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民法典第四百九十八条、保险法第三十条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格式条款理解争议，保护</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提供格式条款一方的相对方。</w:t>
      </w:r>
    </w:p>
    <w:p w14:paraId="3AA63508">
      <w:pPr>
        <w:pStyle w:val="style0"/>
        <w:numPr>
          <w:ilvl w:val="0"/>
          <w:numId w:val="0"/>
        </w:numPr>
        <w:rPr>
          <w:lang w:val="en-US"/>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民法典第五百条第二和第三款、民法典第一百五十七条　虚假保险造成对方损失应当赔偿。</w:t>
      </w:r>
    </w:p>
    <w:p w14:paraId="4ADF1EDD">
      <w:pPr>
        <w:pStyle w:val="style0"/>
        <w:numPr>
          <w:ilvl w:val="0"/>
          <w:numId w:val="0"/>
        </w:numPr>
        <w:rPr>
          <w:lang w:val="en-US"/>
        </w:rPr>
      </w:pPr>
      <w:r>
        <w:rPr>
          <w:lang w:val="en-US"/>
        </w:rPr>
        <w:t>民法典第一百八十六条  被告违约不赔付，损害原告财产权益承担侵权责任。</w:t>
      </w:r>
    </w:p>
    <w:p w14:paraId="0ECB1862">
      <w:pPr>
        <w:pStyle w:val="style0"/>
        <w:numPr>
          <w:ilvl w:val="0"/>
          <w:numId w:val="0"/>
        </w:numPr>
        <w:rPr>
          <w:lang w:val="en-US"/>
        </w:rPr>
      </w:pPr>
      <w:r>
        <w:rPr>
          <w:lang w:val="en-US"/>
        </w:rPr>
        <w:t>民法典第一百八十七条  民事主体一并承担行政责任或者刑事责任不影响承担民事责任。</w:t>
      </w:r>
    </w:p>
    <w:p w14:paraId="56FD1A7E">
      <w:pPr>
        <w:spacing w:lineRule="auto" w:line="24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保险法第四条　保险活动必须尊重社会公德，不得损害社会公共利益。</w:t>
      </w:r>
    </w:p>
    <w:p w14:paraId="1D718CE8">
      <w:pPr>
        <w:spacing w:lineRule="auto" w:line="24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保险法第十一条</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订立保险合同应当遵循公平原则确定各方的权利和义务。</w:t>
      </w:r>
    </w:p>
    <w:p w14:paraId="FCE95365">
      <w:pPr>
        <w:pStyle w:val="style0"/>
        <w:numPr>
          <w:ilvl w:val="0"/>
          <w:numId w:val="0"/>
        </w:numPr>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保险法第十二条第二款</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财产保险的被保险人在保险事故发生时，对保险标的没有保险利益。</w:t>
      </w:r>
    </w:p>
    <w:p w14:paraId="E1DDFF04">
      <w:pPr>
        <w:pStyle w:val="style0"/>
        <w:numPr>
          <w:ilvl w:val="0"/>
          <w:numId w:val="0"/>
        </w:numPr>
        <w:rPr/>
      </w:pPr>
    </w:p>
    <w:p w14:paraId="82B84912">
      <w:pPr>
        <w:pStyle w:val="style0"/>
        <w:ind w:firstLine="0"/>
        <w:rPr/>
      </w:pPr>
    </w:p>
    <w:p w14:paraId="B6C462BD">
      <w:pPr>
        <w:pStyle w:val="style0"/>
        <w:ind w:left="210"/>
        <w:rPr/>
      </w:pPr>
      <w:r>
        <w:t>此致</w:t>
      </w:r>
    </w:p>
    <w:p w14:paraId="D5A4DD03">
      <w:pPr>
        <w:pStyle w:val="style0"/>
        <w:ind w:left="840"/>
        <w:rPr/>
      </w:pPr>
      <w:r>
        <w:rPr>
          <w:u w:val="single"/>
        </w:rPr>
        <w:t>上海市</w:t>
      </w:r>
      <w:r>
        <w:rPr>
          <w:u w:val="single"/>
          <w:lang w:val="en-US"/>
        </w:rPr>
        <w:t>浦东新</w:t>
      </w:r>
      <w:r>
        <w:rPr>
          <w:u w:val="single"/>
        </w:rPr>
        <w:t>区人民法院</w:t>
      </w:r>
    </w:p>
    <w:p w14:paraId="5FC95713">
      <w:pPr>
        <w:pStyle w:val="style0"/>
        <w:ind w:firstLine="0"/>
        <w:jc w:val="right"/>
        <w:rPr/>
      </w:pPr>
    </w:p>
    <w:p w14:paraId="2E021ED9">
      <w:pPr>
        <w:pStyle w:val="style0"/>
        <w:jc w:val="right"/>
        <w:rPr/>
      </w:pPr>
      <w:r>
        <w:t xml:space="preserve">起诉人(签名): </w:t>
      </w:r>
      <w:r>
        <w:rPr/>
      </w:r>
      <w:r/>
      <w:r>
        <w:rPr/>
      </w:r>
      <w:r>
        <w:rPr/>
        <w:drawing>
          <wp:inline distL="0" distT="0" distB="0" distR="0">
            <wp:extent cx="437446" cy="328083"/>
            <wp:effectExtent l="7986" t="10813" r="8015" b="10765"/>
            <wp:docPr id="1026"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2" cstate="print"/>
                    <a:srcRect l="0" t="0" r="0" b="0"/>
                    <a:stretch/>
                  </pic:blipFill>
                  <pic:spPr>
                    <a:xfrm rot="21426718">
                      <a:off x="0" y="0"/>
                      <a:ext cx="437446" cy="328083"/>
                    </a:xfrm>
                    <a:prstGeom prst="rect"/>
                    <a:ln>
                      <a:noFill/>
                    </a:ln>
                  </pic:spPr>
                </pic:pic>
              </a:graphicData>
            </a:graphic>
          </wp:inline>
        </w:drawing>
      </w:r>
      <w:r>
        <w:rPr/>
      </w:r>
      <w:r>
        <w:rPr/>
      </w:r>
    </w:p>
    <w:p w14:paraId="58358AA7">
      <w:pPr>
        <w:pStyle w:val="style0"/>
        <w:jc w:val="right"/>
        <w:rPr>
          <w:rFonts w:hint="eastAsia"/>
        </w:rPr>
      </w:pPr>
      <w:r>
        <w:t xml:space="preserve">　　　　　　　　 日期: </w:t>
      </w:r>
      <w:r>
        <w:rPr>
          <w:u w:val="single"/>
        </w:rPr>
        <w:t>2025</w:t>
      </w:r>
      <w:r>
        <w:t>年</w:t>
      </w:r>
      <w:r>
        <w:rPr>
          <w:u w:val="single"/>
        </w:rPr>
        <w:t>0</w:t>
      </w:r>
      <w:r>
        <w:rPr>
          <w:u w:val="single"/>
          <w:lang w:val="en-US"/>
        </w:rPr>
        <w:t>7</w:t>
      </w:r>
      <w:r>
        <w:t>月</w:t>
      </w:r>
      <w:r>
        <w:rPr>
          <w:lang w:val="en-US"/>
        </w:rPr>
        <w:t>28</w:t>
      </w:r>
      <w:r>
        <w:t>日</w:t>
      </w:r>
    </w:p>
    <w:sectPr>
      <w:pgSz w:w="12240" w:h="20160" w:orient="portrait"/>
      <w:pgMar w:top="1440" w:right="1800" w:bottom="1440" w:left="1800" w:header="851" w:footer="992" w:gutter="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start w:val="1"/>
      <w:numFmt w:val="decimal"/>
      <w:lvlText w:val="%1."/>
      <w:lvlJc w:val="left"/>
      <w:pPr>
        <w:tabs>
          <w:tab w:val="left" w:leader="none" w:pos="420"/>
        </w:tabs>
        <w:ind w:left="0" w:firstLine="0"/>
      </w:pPr>
    </w:lvl>
    <w:lvl w:ilvl="1">
      <w:start w:val="1"/>
      <w:numFmt w:val="lowerLetter"/>
      <w:lvlText w:val="%2)"/>
      <w:lvlJc w:val="left"/>
      <w:pPr>
        <w:tabs>
          <w:tab w:val="left" w:leader="none" w:pos="840"/>
        </w:tabs>
        <w:ind w:left="840" w:hanging="420"/>
      </w:pPr>
    </w:lvl>
    <w:lvl w:ilvl="2">
      <w:start w:val="1"/>
      <w:numFmt w:val="lowerRoman"/>
      <w:lvlText w:val="%3"/>
      <w:lvlJc w:val="right"/>
      <w:pPr>
        <w:tabs>
          <w:tab w:val="left" w:leader="none" w:pos="1260"/>
        </w:tabs>
        <w:ind w:left="1260" w:hanging="420"/>
      </w:pPr>
    </w:lvl>
    <w:lvl w:ilvl="3">
      <w:start w:val="1"/>
      <w:numFmt w:val="decimal"/>
      <w:lvlText w:val="%4"/>
      <w:lvlJc w:val="left"/>
      <w:pPr>
        <w:tabs>
          <w:tab w:val="left" w:leader="none" w:pos="1680"/>
        </w:tabs>
        <w:ind w:left="1680" w:hanging="420"/>
      </w:pPr>
    </w:lvl>
    <w:lvl w:ilvl="4">
      <w:start w:val="1"/>
      <w:numFmt w:val="lowerLetter"/>
      <w:lvlText w:val="%5)"/>
      <w:lvlJc w:val="left"/>
      <w:pPr>
        <w:tabs>
          <w:tab w:val="left" w:leader="none" w:pos="2100"/>
        </w:tabs>
        <w:ind w:left="2100" w:hanging="420"/>
      </w:pPr>
    </w:lvl>
    <w:lvl w:ilvl="5">
      <w:start w:val="1"/>
      <w:numFmt w:val="lowerRoman"/>
      <w:lvlText w:val="%6"/>
      <w:lvlJc w:val="right"/>
      <w:pPr>
        <w:tabs>
          <w:tab w:val="left" w:leader="none" w:pos="2520"/>
        </w:tabs>
        <w:ind w:left="2520" w:hanging="420"/>
      </w:pPr>
    </w:lvl>
    <w:lvl w:ilvl="6">
      <w:start w:val="1"/>
      <w:numFmt w:val="decimal"/>
      <w:lvlText w:val="%7"/>
      <w:lvlJc w:val="left"/>
      <w:pPr>
        <w:tabs>
          <w:tab w:val="left" w:leader="none" w:pos="2940"/>
        </w:tabs>
        <w:ind w:left="2940" w:hanging="420"/>
      </w:pPr>
    </w:lvl>
    <w:lvl w:ilvl="7">
      <w:start w:val="1"/>
      <w:numFmt w:val="lowerLetter"/>
      <w:lvlText w:val="%8)"/>
      <w:lvlJc w:val="left"/>
      <w:pPr>
        <w:tabs>
          <w:tab w:val="left" w:leader="none" w:pos="3360"/>
        </w:tabs>
        <w:ind w:left="3360" w:hanging="420"/>
      </w:pPr>
    </w:lvl>
    <w:lvl w:ilvl="8">
      <w:start w:val="1"/>
      <w:numFmt w:val="lowerRoman"/>
      <w:lvlText w:val="%9"/>
      <w:lvlJc w:val="right"/>
      <w:pPr>
        <w:tabs>
          <w:tab w:val="left" w:leader="none" w:pos="3780"/>
        </w:tabs>
        <w:ind w:left="3780" w:hanging="420"/>
      </w:pPr>
    </w:lvl>
  </w:abstractNum>
  <w:abstractNum w:abstractNumId="1">
    <w:nsid w:val="00000001"/>
    <w:multiLevelType w:val="hybridMultilevel"/>
    <w:tmpl w:val="33EBB9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0000002"/>
    <w:multiLevelType w:val="hybridMultilevel"/>
    <w:tmpl w:val="000000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0000003"/>
    <w:multiLevelType w:val="hybridMultilevel"/>
    <w:tmpl w:val="000000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0000004"/>
    <w:multiLevelType w:val="hybridMultilevel"/>
    <w:tmpl w:val="914921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 w:numId="5">
    <w:abstractNumId w:val="4"/>
  </w:num>
  <w:num w:numId="6">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76"/>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HorizontalSpacing w:val="180"/>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growAutofit/>
    <w:doNotUseIndentAsNumberingTabStop/>
    <w:useAltKinsokuLineBreakRules/>
    <w:splitPgBreakAndParaMark/>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pPr>
      <w:widowControl w:val="false"/>
      <w:jc w:val="both"/>
    </w:pPr>
    <w:rPr>
      <w:rFonts w:ascii="Times New Roman" w:cs="Times New Roman" w:eastAsia="宋体" w:hAnsi="Times New Roman"/>
      <w:kern w:val="2"/>
      <w:sz w:val="21"/>
      <w:szCs w:val="24"/>
      <w:lang w:val="en-US" w:bidi="ar-SA" w:eastAsia="zh-CN"/>
    </w:rPr>
  </w:style>
  <w:style w:type="paragraph" w:styleId="style1">
    <w:name w:val="heading 1"/>
    <w:basedOn w:val="style0"/>
    <w:next w:val="style0"/>
    <w:pPr>
      <w:keepNext/>
      <w:keepLines/>
      <w:widowControl w:val="false"/>
      <w:spacing w:before="340" w:after="330" w:lineRule="auto" w:line="578"/>
      <w:outlineLvl w:val="0"/>
    </w:pPr>
    <w:rPr>
      <w:b/>
      <w:bCs/>
      <w:kern w:val="44"/>
      <w:sz w:val="44"/>
    </w:rPr>
  </w:style>
  <w:style w:type="paragraph" w:styleId="style2">
    <w:name w:val="heading 2"/>
    <w:basedOn w:val="style0"/>
    <w:next w:val="style0"/>
    <w:pPr>
      <w:keepNext/>
      <w:keepLines/>
      <w:widowControl w:val="false"/>
      <w:spacing w:before="260" w:after="260" w:lineRule="auto" w:line="415"/>
      <w:outlineLvl w:val="1"/>
    </w:pPr>
    <w:rPr>
      <w:rFonts w:ascii="Luxi Sans" w:eastAsia="Evermore Ming" w:hAnsi="Luxi Sans"/>
      <w:b/>
      <w:sz w:val="32"/>
    </w:rPr>
  </w:style>
  <w:style w:type="paragraph" w:styleId="style3">
    <w:name w:val="heading 3"/>
    <w:basedOn w:val="style0"/>
    <w:next w:val="style0"/>
    <w:pPr>
      <w:keepNext/>
      <w:keepLines/>
      <w:widowControl w:val="false"/>
      <w:spacing w:before="260" w:after="260" w:lineRule="auto" w:line="415"/>
      <w:outlineLvl w:val="2"/>
    </w:pPr>
    <w:rPr>
      <w:b/>
      <w:sz w:val="32"/>
    </w:rPr>
  </w:style>
  <w:style w:type="character" w:default="1" w:styleId="style65">
    <w:name w:val="Default Paragraph Font"/>
    <w:next w:val="style65"/>
  </w:style>
  <w:style w:type="paragraph" w:styleId="style31">
    <w:name w:val="header"/>
    <w:basedOn w:val="style0"/>
    <w:next w:val="style31"/>
    <w:pPr>
      <w:pBdr>
        <w:bottom w:val="single" w:sz="6" w:space="1" w:color="auto"/>
      </w:pBdr>
      <w:tabs>
        <w:tab w:val="center" w:leader="none" w:pos="4153"/>
        <w:tab w:val="right" w:leader="none" w:pos="8306"/>
      </w:tabs>
      <w:snapToGrid w:val="false"/>
      <w:jc w:val="center"/>
    </w:pPr>
    <w:rPr>
      <w:sz w:val="18"/>
      <w:szCs w:val="18"/>
    </w:rPr>
  </w:style>
  <w:style w:type="paragraph" w:styleId="style32">
    <w:name w:val="footer"/>
    <w:basedOn w:val="style0"/>
    <w:next w:val="style32"/>
    <w:pPr>
      <w:tabs>
        <w:tab w:val="center" w:leader="none" w:pos="4153"/>
        <w:tab w:val="right" w:leader="none" w:pos="8306"/>
      </w:tabs>
      <w:snapToGrid w:val="false"/>
      <w:jc w:val="left"/>
    </w:pPr>
    <w:rPr>
      <w:sz w:val="18"/>
      <w:szCs w:val="18"/>
    </w:r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Normal.eit</Template>
  <TotalTime>34</TotalTime>
  <Words>1813</Words>
  <Pages>1</Pages>
  <Characters>2007</Characters>
  <Application>WPS Office</Application>
  <Paragraphs>59</Paragraphs>
  <CharactersWithSpaces>2042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2025-07-11T04:06:30Z</dcterms:created>
  <dc:creator>zhouyun</dc:creator>
  <lastModifiedBy>2312DRA50C</lastModifiedBy>
  <dcterms:modified xsi:type="dcterms:W3CDTF">2025-07-29T17:24:39Z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9321d2a7f5a94d4e9c66163c00cec0ee_23</vt:lpwstr>
  </property>
</Properties>
</file>