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ECCB945">
      <w:pPr>
        <w:pStyle w:val="style0"/>
        <w:jc w:val="center"/>
        <w:rPr/>
      </w:pPr>
      <w:r>
        <w:rPr>
          <w:b/>
          <w:bCs/>
          <w:sz w:val="44"/>
          <w:szCs w:val="44"/>
        </w:rPr>
        <w:t>民事起诉状</w:t>
      </w:r>
    </w:p>
    <w:p w14:paraId="C3EB0E68">
      <w:pPr>
        <w:pStyle w:val="style0"/>
        <w:spacing w:lineRule="auto" w:line="240"/>
        <w:jc w:val="both"/>
        <w:rPr/>
      </w:pP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起</w:t>
      </w:r>
      <w:r>
        <w:rPr>
          <w:rFonts w:ascii="宋体" w:cs="Times New Roman" w:eastAsia="宋体" w:hAnsi="宋体" w:hint="default"/>
          <w:b/>
          <w:bCs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诉人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：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何义军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汉族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身份证号431126198402221233,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北京物资学院本科,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团员,</w:t>
      </w:r>
    </w:p>
    <w:p w14:paraId="B9A9758F">
      <w:pPr>
        <w:pStyle w:val="style0"/>
        <w:rPr/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住四川省成都市高新区天府大道北段18号附10号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,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电话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19250199051</w:t>
      </w:r>
    </w:p>
    <w:p w14:paraId="2DA5EED3">
      <w:pPr>
        <w:pStyle w:val="style0"/>
        <w:rPr/>
      </w:pPr>
      <w:r>
        <w:rPr>
          <w:b/>
          <w:bCs/>
        </w:rPr>
        <w:t>被起诉人</w:t>
      </w:r>
      <w:r>
        <w:t>：上海寻梦信息技术有限公司，</w:t>
      </w:r>
      <w:r>
        <w:rPr>
          <w:rFonts w:hint="eastAsia"/>
        </w:rPr>
        <w:t>统一社会信用代码 “91310105090037252C”</w:t>
      </w:r>
      <w:r>
        <w:t>，</w:t>
      </w:r>
    </w:p>
    <w:p w14:paraId="E7CC6D7C">
      <w:pPr>
        <w:pStyle w:val="style0"/>
        <w:ind w:left="210" w:left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法定代表人“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赵佳臻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”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t>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 w14:paraId="2F0439DF">
      <w:pPr>
        <w:pStyle w:val="style0"/>
        <w:rPr>
          <w:b/>
          <w:bCs/>
        </w:rPr>
      </w:pPr>
    </w:p>
    <w:p w14:paraId="7F869095">
      <w:pPr>
        <w:pStyle w:val="style0"/>
        <w:rPr/>
      </w:pPr>
      <w:r>
        <w:rPr>
          <w:b/>
          <w:bCs/>
        </w:rPr>
        <w:t>起诉请求</w:t>
      </w:r>
      <w:r>
        <w:t>：</w:t>
      </w:r>
    </w:p>
    <w:p w14:paraId="905187DD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</w:t>
      </w:r>
      <w:r>
        <w:t>原告先行垫付的</w:t>
      </w:r>
      <w:r>
        <w:rPr>
          <w:lang w:val="en-US"/>
        </w:rPr>
        <w:t>退货</w:t>
      </w:r>
      <w:r>
        <w:t>运费5.4元。</w:t>
      </w:r>
      <w:bookmarkStart w:id="0" w:name="_GoBack"/>
      <w:bookmarkEnd w:id="0"/>
    </w:p>
    <w:p w14:paraId="D0326AED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损失</w:t>
      </w:r>
      <w:r>
        <w:t>赔偿金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29232000</w:t>
      </w:r>
      <w:r>
        <w:t>.0元。</w:t>
      </w:r>
    </w:p>
    <w:p w14:paraId="1EC0C910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被告承担因本案造成的其它成本和费用(包括但不限于律师费、诉讼费、交通通讯费等)。</w:t>
      </w:r>
    </w:p>
    <w:p w14:paraId="1AB9A2B0">
      <w:pPr>
        <w:pStyle w:val="style0"/>
        <w:numPr>
          <w:ilvl w:val="0"/>
          <w:numId w:val="1"/>
        </w:numPr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原告保留已诉请之外的其他所有权利。</w:t>
      </w:r>
    </w:p>
    <w:p w14:paraId="A7C5319F">
      <w:pPr>
        <w:pStyle w:val="style0"/>
        <w:rPr/>
      </w:pPr>
    </w:p>
    <w:p w14:paraId="C003B9B3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B96A5112">
      <w:pPr>
        <w:pStyle w:val="style179"/>
        <w:numPr>
          <w:ilvl w:val="0"/>
          <w:numId w:val="4"/>
        </w:numPr>
        <w:ind w:firstLineChars="0"/>
        <w:rPr/>
      </w:pPr>
      <w:r>
        <w:rPr>
          <w:rFonts w:hint="default"/>
          <w:lang w:val="en-US"/>
        </w:rPr>
        <w:t>因</w:t>
      </w:r>
      <w:r>
        <w:rPr>
          <w:rFonts w:hint="eastAsia"/>
        </w:rPr>
        <w:t>商家制售假冒伪劣造成“退货退款”</w:t>
      </w:r>
      <w:r>
        <w:rPr>
          <w:rFonts w:hint="default"/>
          <w:lang w:val="en-US"/>
        </w:rPr>
        <w:t>的"运费"和有关费用</w:t>
      </w:r>
      <w:r>
        <w:rPr>
          <w:rFonts w:hint="eastAsia"/>
        </w:rPr>
        <w:t>由"商家</w:t>
      </w:r>
      <w:r>
        <w:rPr>
          <w:rFonts w:hint="default"/>
          <w:lang w:val="en-US"/>
        </w:rPr>
        <w:t>(过错责任方)</w:t>
      </w:r>
      <w:r>
        <w:rPr>
          <w:rFonts w:hint="eastAsia"/>
        </w:rPr>
        <w:t>"承担</w:t>
      </w:r>
      <w:r>
        <w:rPr>
          <w:rFonts w:hint="default"/>
          <w:lang w:val="en-US"/>
        </w:rPr>
        <w:t>。</w:t>
      </w:r>
    </w:p>
    <w:p w14:paraId="3D185997">
      <w:pPr>
        <w:pStyle w:val="style0"/>
        <w:numPr>
          <w:ilvl w:val="0"/>
          <w:numId w:val="4"/>
        </w:numPr>
        <w:rPr/>
      </w:pPr>
      <w:r>
        <w:rPr>
          <w:lang w:val="en-US"/>
        </w:rPr>
        <w:t>拼多多"退货运费规则"显式不合理, 侵占消费者权利: 商家制售假冒伪劣遭退货, 反要"受损害方"先行垫付运费，显式免除或减少"该商家"的责任，加重"无过错还受损害的消费者"的责任。对"假冒伪劣商品", 退货运费应由"过错商家"垫付，或由拼多多先行赔付。</w:t>
      </w:r>
    </w:p>
    <w:p w14:paraId="072C997B">
      <w:pPr>
        <w:pStyle w:val="style179"/>
        <w:numPr>
          <w:ilvl w:val="0"/>
          <w:numId w:val="4"/>
        </w:numPr>
        <w:ind w:firstLineChars="0"/>
        <w:rPr/>
      </w:pPr>
      <w:r>
        <w:t>拼多多</w:t>
      </w:r>
      <w:r>
        <w:rPr>
          <w:lang w:val="en-US"/>
        </w:rPr>
        <w:t>事实上“伙同不法商家"侵占原告的财产，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适用"惩罚性赔偿损失"</w:t>
      </w:r>
      <w:r>
        <w:rPr>
          <w:lang w:val="en-US"/>
        </w:rPr>
        <w:t>。被告</w:t>
      </w:r>
      <w:r>
        <w:t>对其平台上</w:t>
      </w:r>
      <w:r>
        <w:rPr>
          <w:lang w:val="en-US"/>
        </w:rPr>
        <w:t>的</w:t>
      </w:r>
      <w:r>
        <w:t>商家有不可推卸的监督管理责任。</w:t>
      </w:r>
      <w:r>
        <w:rPr>
          <w:lang w:val="en-US"/>
        </w:rPr>
        <w:t>而</w:t>
      </w:r>
      <w:r>
        <w:t>原告</w:t>
      </w:r>
      <w:r>
        <w:rPr>
          <w:rFonts w:hint="eastAsia"/>
        </w:rPr>
        <w:t>申请“退货运费”</w:t>
      </w:r>
      <w:r>
        <w:t>后，</w:t>
      </w:r>
      <w:r>
        <w:rPr>
          <w:lang w:val="en-US"/>
        </w:rPr>
        <w:t>被告</w:t>
      </w:r>
      <w:r>
        <w:t>多次</w:t>
      </w:r>
      <w:r>
        <w:rPr>
          <w:lang w:val="en-US"/>
        </w:rPr>
        <w:t>"</w:t>
      </w:r>
      <w:r>
        <w:t>不通过</w:t>
      </w:r>
      <w:r>
        <w:rPr>
          <w:rFonts w:hint="eastAsia"/>
        </w:rPr>
        <w:t>”</w:t>
      </w:r>
      <w:r>
        <w:rPr>
          <w:rFonts w:hint="default"/>
          <w:lang w:val="en-US"/>
        </w:rPr>
        <w:t>。</w:t>
      </w:r>
    </w:p>
    <w:p w14:paraId="5735FEA9">
      <w:pPr>
        <w:pStyle w:val="style17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拼多多的"权责倒置"式"退款运费规则"，显式"侵占消费者权益"，并造成原告的巨大损失。</w:t>
      </w:r>
    </w:p>
    <w:p w14:paraId="EEA4E12E">
      <w:pPr>
        <w:pStyle w:val="style0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"惩罚性赔偿损失"应当参照"侵权平台方"的"法定代表人"的实际收入水平：</w:t>
      </w:r>
    </w:p>
    <w:p w14:paraId="20CCB33D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为防止平台型法人"滥用社会、市场及网络支配地位、操纵经济和社会秩序";</w:t>
      </w:r>
    </w:p>
    <w:p w14:paraId="91CBEA4F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为督促平台型法人第一时间主动联系受损害方，先行赔偿，防止此类案件发生；</w:t>
      </w:r>
    </w:p>
    <w:p w14:paraId="4389DA1A">
      <w:pPr>
        <w:pStyle w:val="style179"/>
        <w:numPr>
          <w:ilvl w:val="0"/>
          <w:numId w:val="6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当然也为受损害方，争取合理赔偿，保护民众的合法权利，特别是受司法救助群体。</w:t>
      </w:r>
    </w:p>
    <w:p w14:paraId="F59CB8DE">
      <w:pPr>
        <w:pStyle w:val="style179"/>
        <w:numPr>
          <w:ilvl w:val="0"/>
          <w:numId w:val="4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总天数估计: 320天(赔偿损失的，比照"淘特"计算损失以及赔偿款)</w:t>
      </w:r>
    </w:p>
    <w:p w14:paraId="FE7CD1F8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赔偿计算的起始日为2024年12月30日("垫付退货日")。先估计10月20日为判决日。</w:t>
      </w:r>
    </w:p>
    <w:p w14:paraId="E8FBDE58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为给法院足够时间，及合理估计立案"标的额"，只能先估计10月20日为本案判决日期。</w:t>
      </w:r>
    </w:p>
    <w:p w14:paraId="05A6B944">
      <w:pPr>
        <w:pStyle w:val="style0"/>
        <w:numPr>
          <w:ilvl w:val="0"/>
          <w:numId w:val="0"/>
        </w:numPr>
        <w:ind w:left="420" w:left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另外，原告接受按照实际的判决执行日期更正标的额，以尊重法院的自主日程安排。</w:t>
      </w:r>
    </w:p>
    <w:p w14:paraId="87D4A3AC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也请法官判决前和原告同步判决执行日期并更正标的额</w:t>
      </w:r>
      <w:r>
        <w:rPr>
          <w:rFonts w:hint="default"/>
          <w:lang w:val="en-US"/>
        </w:rPr>
        <w:t>。</w:t>
      </w:r>
    </w:p>
    <w:p w14:paraId="4CF5FA07">
      <w:pPr>
        <w:pStyle w:val="style179"/>
        <w:numPr>
          <w:ilvl w:val="0"/>
          <w:numId w:val="4"/>
        </w:numPr>
        <w:ind w:firstLineChars="0"/>
        <w:rPr>
          <w:rFonts w:hint="default"/>
          <w:lang w:val="en-US"/>
        </w:rPr>
      </w:pPr>
      <w:r>
        <w:rPr>
          <w:rFonts w:hint="default"/>
          <w:lang w:val="en-US"/>
        </w:rPr>
        <w:t>赔偿损失的参照模型: 赔偿金额计算公式为: [ "总天数" × "日薪" × "放大系数" ]。</w:t>
      </w:r>
    </w:p>
    <w:p w14:paraId="FEA10124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①"放大系数": 10.0，罚赔十倍, 被告制定显式不合理规则、故意侵占无过错方财产。</w:t>
      </w:r>
    </w:p>
    <w:p w14:paraId="AF993A1B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②"总天数": 320天。</w:t>
      </w:r>
    </w:p>
    <w:p w14:paraId="C7F31F4D">
      <w:pPr>
        <w:pStyle w:val="style0"/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③"日薪"(原告2025年的)应当为:9135元/天; 由历史薪资计算年均增长率估计的:</w:t>
      </w:r>
    </w:p>
    <w:p w14:paraId="5B79BCB5"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default"/>
          <w:lang w:val="en-US"/>
        </w:rPr>
        <w:t xml:space="preserve">    ④被告应赔偿金额 29232000.00元[ 320 ×9135 ×10 ]</w:t>
      </w:r>
    </w:p>
    <w:p w14:paraId="81A6C67D">
      <w:pPr>
        <w:pStyle w:val="style0"/>
        <w:ind w:firstLine="0"/>
        <w:rPr>
          <w:b/>
          <w:bCs/>
        </w:rPr>
      </w:pPr>
      <w:r>
        <w:rPr>
          <w:rFonts w:hint="eastAsia"/>
          <w:b/>
          <w:bCs/>
        </w:rPr>
        <w:t>事实:</w:t>
      </w:r>
    </w:p>
    <w:p w14:paraId="A3710E20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2024年12月24日，原告通过拼多多平台购买了</w:t>
      </w:r>
      <w:r>
        <w:t>商家</w:t>
      </w:r>
      <w:r>
        <w:rPr>
          <w:rFonts w:hint="eastAsia"/>
        </w:rPr>
        <w:t>“小凯净水滤芯”</w:t>
      </w:r>
    </w:p>
    <w:p w14:paraId="6DE23241">
      <w:pPr>
        <w:pStyle w:val="style0"/>
        <w:ind w:firstLine="0"/>
        <w:rPr>
          <w:rFonts w:hint="eastAsia"/>
        </w:rPr>
      </w:pPr>
      <w:r>
        <w:t xml:space="preserve">    </w:t>
      </w:r>
      <w:r>
        <w:rPr>
          <w:rFonts w:hint="eastAsia"/>
        </w:rPr>
        <w:t>销售的“净水器滤芯”，共1件，金额为12.42元。到货验收发现是"假冒伪劣商品"</w:t>
      </w:r>
      <w:r>
        <w:t>;</w:t>
      </w:r>
    </w:p>
    <w:p w14:paraId="081B2DA3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申请"退货退款"并已上传"实拍图"(订单号"241224-554235410790797")</w:t>
      </w:r>
      <w:r>
        <w:t>,</w:t>
      </w:r>
    </w:p>
    <w:p w14:paraId="15069449">
      <w:pPr>
        <w:pStyle w:val="style0"/>
        <w:ind w:firstLine="0"/>
        <w:rPr>
          <w:rFonts w:hint="eastAsia"/>
        </w:rPr>
      </w:pPr>
      <w:r>
        <w:t xml:space="preserve">    而且</w:t>
      </w:r>
      <w:r>
        <w:rPr>
          <w:rFonts w:hint="eastAsia"/>
        </w:rPr>
        <w:t>已在拼多多</w:t>
      </w:r>
      <w:r>
        <w:t>平台</w:t>
      </w:r>
      <w:r>
        <w:rPr>
          <w:rFonts w:hint="eastAsia"/>
        </w:rPr>
        <w:t>上举报; 该商家认同，通过申请、签收退货并已退款。</w:t>
      </w:r>
    </w:p>
    <w:p w14:paraId="2E7169F3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退货运费“5.4元”由原告“先行垫付”，却至今不补偿给原告。</w:t>
      </w:r>
    </w:p>
    <w:p w14:paraId="D49DE4C0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退货退款完成后，原告在拼多多上多次申请“退货运费”，但拼多多平台“</w:t>
      </w:r>
      <w:r>
        <w:t>都</w:t>
      </w:r>
      <w:r>
        <w:rPr>
          <w:rFonts w:hint="eastAsia"/>
        </w:rPr>
        <w:t>不通过”。</w:t>
      </w:r>
    </w:p>
    <w:p w14:paraId="C1FAEE40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原告2025</w:t>
      </w:r>
      <w:r>
        <w:t>年</w:t>
      </w:r>
      <w:r>
        <w:rPr>
          <w:rFonts w:hint="eastAsia"/>
        </w:rPr>
        <w:t>01</w:t>
      </w:r>
      <w:r>
        <w:t>月03日</w:t>
      </w:r>
      <w:r>
        <w:rPr>
          <w:rFonts w:hint="eastAsia"/>
        </w:rPr>
        <w:t>已在全国12315(消费者协会)平台举报过，</w:t>
      </w:r>
    </w:p>
    <w:p w14:paraId="E162D3FD">
      <w:pPr>
        <w:pStyle w:val="style0"/>
        <w:ind w:firstLine="0"/>
        <w:rPr/>
      </w:pPr>
      <w:r>
        <w:t xml:space="preserve">    </w:t>
      </w: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“</w:t>
      </w:r>
      <w:r>
        <w:t>理由</w:t>
      </w:r>
      <w:r>
        <w:rPr>
          <w:rFonts w:hint="eastAsia"/>
        </w:rPr>
        <w:t>”</w:t>
      </w:r>
      <w:r>
        <w:t>是</w:t>
      </w:r>
      <w:r>
        <w:rPr>
          <w:rFonts w:hint="eastAsia"/>
        </w:rPr>
        <w:t>“</w:t>
      </w:r>
      <w:r>
        <w:t>被举报事项为平台内经营者行为</w:t>
      </w:r>
      <w:r>
        <w:rPr>
          <w:rFonts w:hint="eastAsia"/>
        </w:rPr>
        <w:t>”</w:t>
      </w:r>
      <w:r>
        <w:t>。</w:t>
      </w:r>
    </w:p>
    <w:p w14:paraId="2759E892">
      <w:pPr>
        <w:pStyle w:val="style0"/>
        <w:ind w:firstLine="0"/>
        <w:rPr/>
      </w:pPr>
    </w:p>
    <w:p w14:paraId="4BB1B1C2">
      <w:pPr>
        <w:pStyle w:val="style0"/>
        <w:ind w:left="210"/>
        <w:rPr/>
      </w:pPr>
      <w:r>
        <w:t>此致</w:t>
      </w:r>
    </w:p>
    <w:p w14:paraId="0AEFE456">
      <w:pPr>
        <w:pStyle w:val="style0"/>
        <w:ind w:left="840"/>
        <w:rPr/>
      </w:pPr>
      <w:r>
        <w:rPr>
          <w:u w:val="single"/>
        </w:rPr>
        <w:t>上海市长宁区人民法院</w:t>
      </w:r>
    </w:p>
    <w:p w14:paraId="C90EB5EC">
      <w:pPr>
        <w:pStyle w:val="style0"/>
        <w:ind w:firstLine="0"/>
        <w:jc w:val="right"/>
        <w:rPr/>
      </w:pPr>
    </w:p>
    <w:p w14:paraId="BF08C2F4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B773893A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9</w:t>
      </w:r>
      <w:r>
        <w:t>月</w:t>
      </w:r>
      <w:r>
        <w:rPr>
          <w:u w:val="single"/>
          <w:lang w:val="en-US"/>
        </w:rPr>
        <w:t>24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38BE1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CE59360D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pPr>
      <w:widowControl w:val="false"/>
      <w:spacing w:after="0"/>
      <w:ind w:firstLine="420" w:firstLineChars="200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62</TotalTime>
  <Words>1217</Words>
  <Pages>1</Pages>
  <Characters>1391</Characters>
  <Application>WPS Office</Application>
  <Paragraphs>46</Paragraphs>
  <CharactersWithSpaces>1448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2011-06-22T08:59:00Z</dcterms:created>
  <dc:creator>zhouyun</dc:creator>
  <lastModifiedBy>2312DRA50C</lastModifiedBy>
  <dcterms:modified xsi:type="dcterms:W3CDTF">2025-09-24T12:30:38Z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90a6f20dfda54acabb78b2b90191006f</vt:lpwstr>
  </property>
</Properties>
</file>