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32675124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jc w:val="center"/>
        <w:textAlignment w:val="auto"/>
        <w:outlineLvl w:val="9"/>
        <w:rPr>
          <w:rFonts w:ascii="宋体" w:cs="宋体" w:eastAsia="宋体" w:hAnsi="宋体" w:hint="eastAsia"/>
          <w:sz w:val="44"/>
          <w:szCs w:val="44"/>
          <w:lang w:val="en-US" w:eastAsia="zh-CN"/>
        </w:rPr>
      </w:pPr>
      <w:bookmarkStart w:id="0" w:name="_GoBack"/>
      <w:bookmarkEnd w:id="0"/>
      <w:r>
        <w:rPr>
          <w:rFonts w:ascii="宋体" w:cs="宋体" w:eastAsia="宋体" w:hAnsi="宋体" w:hint="eastAsia"/>
          <w:sz w:val="44"/>
          <w:szCs w:val="44"/>
          <w:lang w:val="en-US" w:eastAsia="zh-CN"/>
        </w:rPr>
        <w:t>行政</w:t>
      </w:r>
      <w:r>
        <w:rPr>
          <w:rFonts w:ascii="宋体" w:cs="宋体" w:eastAsia="宋体" w:hAnsi="宋体" w:hint="default"/>
          <w:sz w:val="44"/>
          <w:szCs w:val="44"/>
          <w:lang w:val="en-US" w:eastAsia="zh-CN"/>
        </w:rPr>
        <w:t>诉讼起诉状</w:t>
      </w:r>
    </w:p>
    <w:p w14:paraId="668FC0C3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ind w:firstLine="0" w:firstLineChars="0"/>
        <w:jc w:val="left"/>
        <w:textAlignment w:val="auto"/>
        <w:rPr>
          <w:rFonts w:ascii="宋体" w:eastAsia="宋体"/>
          <w:sz w:val="24"/>
          <w:szCs w:val="24"/>
        </w:rPr>
      </w:pPr>
    </w:p>
    <w:p w14:paraId="9D08BFFD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jc w:val="left"/>
        <w:textAlignment w:val="baseline"/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宋体" w:cs="仿宋_GB2312" w:eastAsia="宋体" w:hAnsi="仿宋_GB2312" w:hint="default"/>
          <w:b/>
          <w:bCs/>
          <w:sz w:val="24"/>
          <w:szCs w:val="24"/>
          <w:lang w:val="en-US"/>
        </w:rPr>
        <w:t>起诉</w:t>
      </w:r>
      <w:r>
        <w:rPr>
          <w:rFonts w:ascii="宋体" w:cs="仿宋_GB2312" w:eastAsia="宋体" w:hAnsi="仿宋_GB2312" w:hint="eastAsia"/>
          <w:b/>
          <w:bCs/>
          <w:sz w:val="24"/>
          <w:szCs w:val="24"/>
        </w:rPr>
        <w:t>人</w:t>
      </w:r>
      <w:r>
        <w:rPr>
          <w:rFonts w:ascii="仿宋_GB2312" w:cs="仿宋_GB2312" w:eastAsia="仿宋_GB2312" w:hAnsi="仿宋_GB2312" w:hint="eastAsia"/>
          <w:sz w:val="24"/>
          <w:szCs w:val="24"/>
        </w:rPr>
        <w:t>：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何义军, 男, 1984年02月22日出生, 汉族, </w:t>
      </w: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身份号431126198402221233,</w:t>
      </w:r>
    </w:p>
    <w:p w14:paraId="105FFA9E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ind w:left="840" w:leftChars="0"/>
        <w:jc w:val="left"/>
        <w:textAlignment w:val="baseline"/>
        <w:rPr>
          <w:rFonts w:ascii="宋体" w:eastAsia="宋体"/>
          <w:sz w:val="24"/>
          <w:szCs w:val="24"/>
        </w:rPr>
      </w:pP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电话19250199051, 住四川省成都市高新区天府大道北段18号附10号。</w:t>
      </w:r>
    </w:p>
    <w:p w14:paraId="7F8B7047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34"/>
        <w:jc w:val="left"/>
        <w:textAlignment w:val="baseline"/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Times New Roman" w:hint="default"/>
          <w:b/>
          <w:bCs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被起诉人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  <w:r>
        <w:rPr>
          <w:rFonts w:ascii="宋体" w:cs="Times New Roman" w:eastAsia="宋体" w:hAnsi="Times New Roman" w:hint="default"/>
          <w:b/>
          <w:bCs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深圳市前海合作区人民法院, 电话:(0755)86705391,</w:t>
      </w:r>
    </w:p>
    <w:p w14:paraId="99F22B50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34" w:firstLineChars="200"/>
        <w:jc w:val="left"/>
        <w:textAlignment w:val="baseline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住址: 广东省深圳市南山区临海大道前海法治大厦。</w:t>
      </w:r>
    </w:p>
    <w:p w14:paraId="2877D5A7">
      <w:pPr>
        <w:pStyle w:val="style0"/>
        <w:adjustRightInd/>
        <w:snapToGrid/>
        <w:spacing w:lineRule="auto" w:line="240"/>
        <w:jc w:val="both"/>
        <w:outlineLvl w:val="9"/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</w:p>
    <w:p w14:paraId="7F73B98C">
      <w:pPr>
        <w:pStyle w:val="style0"/>
        <w:adjustRightInd/>
        <w:snapToGrid/>
        <w:spacing w:lineRule="auto" w:line="240"/>
        <w:jc w:val="both"/>
        <w:outlineLvl w:val="9"/>
        <w:rPr>
          <w:rFonts w:ascii="宋体" w:cs="仿宋_GB2312" w:eastAsia="宋体" w:hAnsi="仿宋_GB2312" w:hint="default"/>
          <w:b w:val="false"/>
          <w:bCs w:val="false"/>
          <w:sz w:val="24"/>
          <w:szCs w:val="24"/>
          <w:lang w:val="en-US" w:eastAsia="zh-CN"/>
        </w:rPr>
      </w:pPr>
      <w:r>
        <w:rPr>
          <w:rFonts w:ascii="宋体" w:cs="Times New Roman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名词简写及解释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</w:p>
    <w:p w14:paraId="C98DABF7">
      <w:pPr>
        <w:pStyle w:val="style0"/>
        <w:kinsoku w:val="false"/>
        <w:autoSpaceDE w:val="false"/>
        <w:autoSpaceDN w:val="false"/>
        <w:adjustRightInd w:val="false"/>
        <w:snapToGrid w:val="false"/>
        <w:spacing w:lineRule="exact" w:line="260"/>
        <w:ind w:left="210" w:leftChars="0"/>
        <w:jc w:val="left"/>
        <w:textAlignment w:val="baseline"/>
        <w:rPr>
          <w:rFonts w:ascii="宋体" w:eastAsia="宋体"/>
          <w:sz w:val="24"/>
          <w:szCs w:val="24"/>
        </w:rPr>
      </w:pPr>
      <w:r>
        <w:rPr>
          <w:rFonts w:ascii="宋体" w:cs="Arial" w:eastAsia="宋体" w:hAnsi="宋体" w:hint="default"/>
          <w:b/>
          <w:bCs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诉微信支付案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: "何义军</w:t>
      </w:r>
      <w:r>
        <w:rPr>
          <w:rFonts w:ascii="宋体" w:cs="Arial" w:eastAsia="宋体" w:hAnsi="Arial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（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原告)"于2025年6月30日, 起诉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en-US"/>
        </w:rPr>
        <w:t>"财付通(被告)"违约违法,</w:t>
      </w:r>
    </w:p>
    <w:p w14:paraId="A3E05491">
      <w:pPr>
        <w:pStyle w:val="style0"/>
        <w:kinsoku w:val="false"/>
        <w:autoSpaceDE w:val="false"/>
        <w:autoSpaceDN w:val="false"/>
        <w:adjustRightInd w:val="false"/>
        <w:snapToGrid w:val="false"/>
        <w:spacing w:lineRule="exact" w:line="260"/>
        <w:ind w:left="1470" w:leftChars="0"/>
        <w:jc w:val="left"/>
        <w:textAlignment w:val="baseline"/>
        <w:rPr>
          <w:rFonts w:ascii="宋体" w:eastAsia="宋体"/>
          <w:sz w:val="24"/>
          <w:szCs w:val="24"/>
        </w:rPr>
      </w:pP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 xml:space="preserve">  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en-US"/>
        </w:rPr>
        <w:t>故意侵占财产, 造成并扩大致其损失巨大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 xml:space="preserve">的案例, </w:t>
      </w:r>
    </w:p>
    <w:p w14:paraId="C1E89CB2">
      <w:pPr>
        <w:pStyle w:val="style0"/>
        <w:kinsoku w:val="false"/>
        <w:autoSpaceDE w:val="false"/>
        <w:autoSpaceDN w:val="false"/>
        <w:adjustRightInd w:val="false"/>
        <w:snapToGrid w:val="false"/>
        <w:spacing w:lineRule="exact" w:line="260"/>
        <w:ind w:left="1470" w:leftChars="0"/>
        <w:jc w:val="left"/>
        <w:textAlignment w:val="baseline"/>
        <w:rPr>
          <w:rFonts w:ascii="宋体" w:eastAsia="宋体"/>
          <w:sz w:val="24"/>
          <w:szCs w:val="24"/>
        </w:rPr>
      </w:pP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 xml:space="preserve">  由"深圳前海合作区人民法院"于同年7月30日立案</w:t>
      </w:r>
      <w:r>
        <w:rPr>
          <w:rFonts w:ascii="宋体" w:cs="Arial" w:eastAsia="宋体" w:hAnsi="Arial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，</w:t>
      </w:r>
    </w:p>
    <w:p w14:paraId="3946EBD6">
      <w:pPr>
        <w:pStyle w:val="style0"/>
        <w:kinsoku w:val="false"/>
        <w:autoSpaceDE w:val="false"/>
        <w:autoSpaceDN w:val="false"/>
        <w:adjustRightInd w:val="false"/>
        <w:snapToGrid w:val="false"/>
        <w:spacing w:lineRule="exact" w:line="260"/>
        <w:ind w:left="1470" w:leftChars="0"/>
        <w:jc w:val="left"/>
        <w:textAlignment w:val="baseline"/>
        <w:rPr>
          <w:rFonts w:ascii="宋体" w:eastAsia="宋体"/>
          <w:sz w:val="24"/>
          <w:szCs w:val="24"/>
        </w:rPr>
      </w:pPr>
      <w:r>
        <w:rPr>
          <w:rFonts w:ascii="宋体" w:cs="Arial" w:eastAsia="宋体" w:hAnsi="Arial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 xml:space="preserve">  案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由"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en-US"/>
        </w:rPr>
        <w:t>网络服务合同纠纷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</w:t>
      </w:r>
      <w:r>
        <w:rPr>
          <w:rFonts w:ascii="宋体" w:cs="Arial" w:eastAsia="宋体" w:hAnsi="Arial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，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编号"</w:t>
      </w:r>
      <w:r>
        <w:rPr>
          <w:rFonts w:ascii="宋体" w:cs="Arial" w:eastAsia="宋体" w:hAnsi="宋体" w:hint="default"/>
          <w:b/>
          <w:bCs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en-US"/>
        </w:rPr>
        <w:t>(2025)粤0391民初8980号</w:t>
      </w:r>
      <w:r>
        <w:rPr>
          <w:rFonts w:ascii="宋体" w:cs="Arial" w:eastAsia="宋体" w:hAnsi="宋体" w:hint="default"/>
          <w:b w:val="false"/>
          <w:bCs w:val="false"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"。</w:t>
      </w:r>
    </w:p>
    <w:p w14:paraId="3C77B794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244" w:leftChars="0"/>
        <w:jc w:val="left"/>
        <w:textAlignment w:val="baseline"/>
        <w:rPr>
          <w:rFonts w:ascii="宋体" w:cs="仿宋_GB2312" w:eastAsia="宋体" w:hAnsi="仿宋_GB2312" w:hint="default"/>
          <w:b w:val="false"/>
          <w:bCs w:val="false"/>
          <w:sz w:val="24"/>
          <w:szCs w:val="24"/>
          <w:lang w:val="en-US" w:eastAsia="zh-CN"/>
        </w:rPr>
      </w:pPr>
      <w:r>
        <w:rPr>
          <w:rFonts w:ascii="宋体" w:cs="仿宋_GB2312" w:eastAsia="宋体" w:hAnsi="仿宋_GB2312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前海法院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: 全称"深圳前海合作区人民法院"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诉微信支付案的管辖地法院。</w:t>
      </w:r>
    </w:p>
    <w:p w14:paraId="5C2057CA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244" w:leftChars="0"/>
        <w:jc w:val="left"/>
        <w:textAlignment w:val="baseline"/>
        <w:rPr>
          <w:rFonts w:ascii="宋体" w:cs="仿宋_GB2312" w:eastAsia="宋体" w:hAnsi="仿宋_GB2312" w:hint="eastAsia"/>
          <w:b w:val="false"/>
          <w:bCs w:val="false"/>
          <w:sz w:val="24"/>
          <w:szCs w:val="24"/>
          <w:lang w:val="en-US" w:eastAsia="zh-CN"/>
        </w:rPr>
      </w:pPr>
    </w:p>
    <w:p w14:paraId="94C2EA7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宋体" w:hint="eastAsia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default"/>
          <w:b/>
          <w:bCs/>
          <w:sz w:val="24"/>
          <w:szCs w:val="24"/>
          <w:u w:val="none"/>
          <w:lang w:val="en-US" w:eastAsia="zh-CN"/>
        </w:rPr>
        <w:t>起诉</w:t>
      </w:r>
      <w:r>
        <w:rPr>
          <w:rFonts w:ascii="宋体" w:cs="黑体" w:eastAsia="宋体" w:hAnsi="黑体" w:hint="eastAsia"/>
          <w:b/>
          <w:bCs/>
          <w:sz w:val="24"/>
          <w:szCs w:val="24"/>
          <w:u w:val="none"/>
          <w:lang w:val="en-US" w:eastAsia="zh-CN"/>
        </w:rPr>
        <w:t>请求</w:t>
      </w:r>
      <w:r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  <w:t>：</w:t>
      </w:r>
    </w:p>
    <w:p w14:paraId="7474E589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   1. 撤销"深圳市前海合作区人民法院" 的 "25-8980决定书"</w:t>
      </w:r>
      <w:r>
        <w:rPr>
          <w:rFonts w:ascii="黑体" w:cs="黑体" w:eastAsia="黑体" w:hAnsi="黑体" w:hint="default"/>
          <w:b w:val="false"/>
          <w:bCs w:val="false"/>
          <w:sz w:val="24"/>
          <w:szCs w:val="24"/>
          <w:u w:val="none"/>
          <w:lang w:val="en-US" w:eastAsia="zh-CN"/>
        </w:rPr>
        <w:t>，</w:t>
      </w:r>
    </w:p>
    <w:p w14:paraId="D5A1C044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仿宋_GB2312" w:hint="eastAsia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      依法回避改换其他的互联网审判平台; 采取补救措施; </w:t>
      </w:r>
      <w:r>
        <w:rPr>
          <w:rFonts w:ascii="宋体" w:cs="Times New Roman" w:eastAsia="宋体" w:hAnsi="Times New Roman" w:hint="default"/>
          <w:sz w:val="24"/>
          <w:szCs w:val="24"/>
          <w:u w:val="none"/>
          <w:lang w:val="en-US" w:eastAsia="zh-CN"/>
        </w:rPr>
        <w:t>给予行政赔偿</w:t>
      </w:r>
      <w:r>
        <w:rPr>
          <w:rFonts w:ascii="宋体" w:cs="仿宋_GB2312" w:eastAsia="宋体" w:hAnsi="仿宋_GB2312" w:hint="eastAsia"/>
          <w:sz w:val="24"/>
          <w:szCs w:val="24"/>
          <w:u w:val="none"/>
          <w:lang w:val="en-US" w:eastAsia="zh-CN"/>
        </w:rPr>
        <w:t>。</w:t>
      </w:r>
    </w:p>
    <w:p w14:paraId="BC5F195F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 xml:space="preserve">   2. 因为本案"法官"的大多数行为忠法尽责，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对原被告善意原则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>，原告特请免除其责任。</w:t>
      </w:r>
    </w:p>
    <w:p w14:paraId="17CFFC95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Times New Roman" w:eastAsia="宋体" w:hAnsi="Times New Roman" w:hint="default"/>
          <w:sz w:val="24"/>
          <w:szCs w:val="24"/>
          <w:u w:val="single"/>
          <w:lang w:val="en-US" w:eastAsia="zh-CN"/>
        </w:rPr>
      </w:pP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 xml:space="preserve">      事实可能的主要原因: 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"法官审案数量上任务过重"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"微法院"功能不完整、设计缺陷。</w:t>
      </w:r>
    </w:p>
    <w:p w14:paraId="14D10FB0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</w:p>
    <w:p w14:paraId="20AC711E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default"/>
          <w:b/>
          <w:bCs/>
          <w:sz w:val="24"/>
          <w:szCs w:val="24"/>
          <w:u w:val="none"/>
          <w:lang w:val="en-US" w:eastAsia="zh-CN"/>
        </w:rPr>
        <w:t>总结</w:t>
      </w:r>
      <w:r>
        <w:rPr>
          <w:rFonts w:ascii="宋体" w:cs="黑体" w:eastAsia="宋体" w:hAnsi="黑体" w:hint="default"/>
          <w:b w:val="false"/>
          <w:bCs w:val="false"/>
          <w:sz w:val="24"/>
          <w:szCs w:val="24"/>
          <w:u w:val="none"/>
          <w:lang w:val="en-US" w:eastAsia="zh-CN"/>
        </w:rPr>
        <w:t>:</w:t>
      </w:r>
    </w:p>
    <w:p w14:paraId="6144A222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default"/>
          <w:b/>
          <w:bCs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default"/>
          <w:b/>
          <w:bCs/>
          <w:sz w:val="24"/>
          <w:szCs w:val="24"/>
          <w:u w:val="none"/>
          <w:lang w:val="en-US" w:eastAsia="zh-CN"/>
        </w:rPr>
        <w:t>前海法院在知道:</w:t>
      </w:r>
    </w:p>
    <w:p w14:paraId="D3A7386D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1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default"/>
          <w:b w:val="false"/>
          <w:bCs w:val="false"/>
          <w:sz w:val="24"/>
          <w:szCs w:val="24"/>
          <w:u w:val="none"/>
          <w:lang w:val="en-US" w:eastAsia="zh-CN"/>
        </w:rPr>
        <w:t>原告没钱参加"线下开庭审理"，</w:t>
      </w: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"互联网在线审判"是其"能参加"的唯一选择。</w:t>
      </w:r>
    </w:p>
    <w:p w14:paraId="2424111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1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微法院、云审、微信小程序平台和微信app,都由"微信支付利益集团"提供在线服务。</w:t>
      </w:r>
    </w:p>
    <w:p w14:paraId="1C14158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1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微法院主体功能不完整(不能提交录音和视频电子证据)不能保障原告的必要诉讼权。</w:t>
      </w:r>
    </w:p>
    <w:p w14:paraId="78BF93AF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/>
          <w:bCs/>
          <w:sz w:val="24"/>
          <w:szCs w:val="24"/>
          <w:u w:val="none"/>
          <w:lang w:val="en-US" w:eastAsia="zh-CN"/>
        </w:rPr>
        <w:t>的前提下</w:t>
      </w:r>
      <w:r>
        <w:rPr>
          <w:rFonts w:ascii="宋体" w:cs="黑体" w:eastAsia="宋体" w:hAnsi="黑体" w:hint="default"/>
          <w:b/>
          <w:bCs/>
          <w:sz w:val="24"/>
          <w:szCs w:val="24"/>
          <w:u w:val="none"/>
          <w:lang w:val="en-US" w:eastAsia="zh-CN"/>
        </w:rPr>
        <w:t>，</w:t>
      </w:r>
      <w:r>
        <w:rPr>
          <w:rFonts w:ascii="宋体" w:cs="黑体" w:eastAsia="宋体" w:hAnsi="宋体" w:hint="default"/>
          <w:b/>
          <w:bCs/>
          <w:sz w:val="24"/>
          <w:szCs w:val="24"/>
          <w:u w:val="none"/>
          <w:lang w:val="en-US" w:eastAsia="zh-CN"/>
        </w:rPr>
        <w:t>仍然在"诉微信支付案"做出以下行为</w:t>
      </w: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:</w:t>
      </w:r>
    </w:p>
    <w:p w14:paraId="258C076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应当回避使用"该案被告利益集团"提供的互联网服务的</w:t>
      </w:r>
      <w:r>
        <w:rPr>
          <w:rFonts w:ascii="宋体" w:cs="黑体" w:eastAsia="宋体" w:hAnsi="黑体" w:hint="default"/>
          <w:b w:val="false"/>
          <w:bCs w:val="false"/>
          <w:sz w:val="24"/>
          <w:szCs w:val="24"/>
          <w:u w:val="none"/>
          <w:lang w:val="en-US" w:eastAsia="zh-CN"/>
        </w:rPr>
        <w:t>，</w:t>
      </w: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而没有回避以达过程公正。</w:t>
      </w:r>
    </w:p>
    <w:p w14:paraId="1A9842B5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不改换用"微法院、云审"进行互联网在线审判"诉微信支付案"的决定。</w:t>
      </w:r>
    </w:p>
    <w:p w14:paraId="D8D5C02C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/>
          <w:bCs/>
          <w:sz w:val="24"/>
          <w:szCs w:val="24"/>
          <w:u w:val="none"/>
          <w:lang w:val="en-US" w:eastAsia="zh-CN"/>
        </w:rPr>
        <w:t>构成认定事实不清</w:t>
      </w:r>
      <w:r>
        <w:rPr>
          <w:rFonts w:ascii="宋体" w:cs="黑体" w:hAnsi="黑体" w:hint="default"/>
          <w:b/>
          <w:bCs/>
          <w:sz w:val="24"/>
          <w:szCs w:val="24"/>
          <w:u w:val="none"/>
          <w:lang w:val="en-US" w:eastAsia="zh-CN"/>
        </w:rPr>
        <w:t>，</w:t>
      </w:r>
      <w:r>
        <w:rPr>
          <w:rFonts w:ascii="宋体" w:cs="黑体" w:eastAsia="宋体" w:hAnsi="宋体" w:hint="default"/>
          <w:b/>
          <w:bCs/>
          <w:sz w:val="24"/>
          <w:szCs w:val="24"/>
          <w:u w:val="none"/>
          <w:lang w:val="en-US" w:eastAsia="zh-CN"/>
        </w:rPr>
        <w:t>审判过程不公正</w:t>
      </w:r>
      <w:r>
        <w:rPr>
          <w:rFonts w:ascii="宋体" w:cs="黑体" w:hAnsi="黑体" w:hint="default"/>
          <w:b w:val="false"/>
          <w:bCs w:val="false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事实侵占原告诉讼权</w:t>
      </w:r>
      <w:r>
        <w:rPr>
          <w:rFonts w:ascii="宋体" w:cs="仿宋_GB2312" w:hAnsi="宋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未能及时审判制止侵权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7AFB27DD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</w:p>
    <w:p w14:paraId="9135035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eastAsia"/>
          <w:b/>
          <w:bCs/>
          <w:sz w:val="24"/>
          <w:szCs w:val="24"/>
          <w:u w:val="none"/>
          <w:lang w:val="en-US" w:eastAsia="zh-CN"/>
        </w:rPr>
        <w:t>事实和理由</w:t>
      </w:r>
      <w:r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  <w:t>：</w:t>
      </w:r>
    </w:p>
    <w:p w14:paraId="3710CDB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/>
          <w:bCs/>
          <w:sz w:val="24"/>
          <w:szCs w:val="24"/>
          <w:u w:val="none"/>
          <w:lang w:val="en-US" w:eastAsia="zh-CN"/>
        </w:rPr>
        <w:t>前海法院院长认定事实不清，做出了有失公正的决定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。</w:t>
      </w:r>
    </w:p>
    <w:p w14:paraId="BEF48E0D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与"</w:t>
      </w:r>
      <w:r>
        <w:rPr>
          <w:rFonts w:ascii="宋体" w:cs="Arial" w:eastAsia="宋体" w:hAnsi="宋体" w:hint="default"/>
          <w:b/>
          <w:bCs/>
          <w:i w:val="false"/>
          <w:iCs w:val="false"/>
          <w:noProof/>
          <w:snapToGrid w:val="false"/>
          <w:color w:val="36363d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诉微信支付案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"有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none"/>
          <w:lang w:val="en-US" w:eastAsia="zh-CN"/>
        </w:rPr>
        <w:t>利害关系的是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none"/>
          <w:lang w:val="en-US" w:eastAsia="zh-CN"/>
        </w:rPr>
        <w:t>在线审理平台"</w:t>
      </w:r>
      <w:r>
        <w:rPr>
          <w:rFonts w:ascii="宋体" w:cs="仿宋_GB2312" w:hAnsi="宋体" w:hint="default"/>
          <w:b/>
          <w:bCs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none"/>
          <w:lang w:val="en-US" w:eastAsia="zh-CN"/>
        </w:rPr>
        <w:t>即该案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用的云审、微法院小程序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3E4F855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因为"在线审判平台"上"法官"不只是"法官本人"，而是以下"多重身份及作为"的合用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</w:p>
    <w:p w14:paraId="2B4E3670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cs="仿宋_GB2312" w:eastAsia="宋体" w:hAnsi="宋体" w:hint="default"/>
          <w:sz w:val="24"/>
          <w:szCs w:val="24"/>
          <w:u w:val="none"/>
          <w:lang w:val="en-US" w:eastAsia="zh-CN"/>
        </w:rPr>
        <w:t>①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行政机关: "前海法院"指定"工作人员"用"微法院、云审"在线审判，代表法院的作为；</w:t>
      </w:r>
    </w:p>
    <w:p w14:paraId="CE930DA8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cs="仿宋_GB2312" w:eastAsia="宋体" w:hAnsi="宋体" w:hint="default"/>
          <w:sz w:val="24"/>
          <w:szCs w:val="24"/>
          <w:u w:val="none"/>
          <w:lang w:val="en-US" w:eastAsia="zh-CN"/>
        </w:rPr>
        <w:t>②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single"/>
          <w:lang w:val="en-US" w:eastAsia="zh-CN"/>
        </w:rPr>
        <w:t>微法院、云审、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微信小程序和微信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single"/>
          <w:lang w:val="en-US" w:eastAsia="zh-CN"/>
        </w:rPr>
        <w:t>平台行为, 及其"法官账户的行为"视同法院作为</w:t>
      </w:r>
      <w:r>
        <w:rPr>
          <w:rFonts w:ascii="宋体" w:cs="仿宋_GB2312" w:hAnsi="宋体" w:hint="default"/>
          <w:sz w:val="24"/>
          <w:szCs w:val="24"/>
          <w:u w:val="none"/>
          <w:lang w:val="en-US" w:eastAsia="zh-CN"/>
        </w:rPr>
        <w:t>；</w:t>
      </w:r>
    </w:p>
    <w:p w14:paraId="9389CC99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630" w:left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 xml:space="preserve">举例, 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如果"微信小程序不能提交录音视频证据"</w:t>
      </w:r>
      <w:r>
        <w:rPr>
          <w:rFonts w:ascii="宋体" w:cs="仿宋_GB2312" w:hAnsi="宋体" w:hint="default"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那么视同"法院"不能提交视频证据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。</w:t>
      </w:r>
    </w:p>
    <w:p w14:paraId="5A94DCA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cs="仿宋_GB2312" w:eastAsia="宋体" w:hAnsi="宋体" w:hint="default"/>
          <w:sz w:val="24"/>
          <w:szCs w:val="24"/>
          <w:u w:val="none"/>
          <w:lang w:val="en-US" w:eastAsia="zh-CN"/>
        </w:rPr>
        <w:t>③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该</w:t>
      </w: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案法官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 例如:"主审法官"与案件有关的行为</w:t>
      </w:r>
      <w:r>
        <w:rPr>
          <w:rFonts w:ascii="宋体" w:cs="仿宋_GB2312" w:hAnsi="宋体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即视为"其代表的法院"的作为。</w:t>
      </w:r>
    </w:p>
    <w:p w14:paraId="B873E9A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cs="仿宋_GB2312" w:eastAsia="宋体" w:hAnsi="宋体" w:hint="default"/>
          <w:sz w:val="24"/>
          <w:szCs w:val="24"/>
          <w:u w:val="none"/>
          <w:lang w:val="en-US" w:eastAsia="zh-CN"/>
        </w:rPr>
        <w:t>④</w:t>
      </w: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职业法官+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自然人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 例如"法官林燕"与"林燕本人"的"主观行为"。</w:t>
      </w:r>
    </w:p>
    <w:p w14:paraId="CEA58CC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诉微信支付显式的程序不公正，体现在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</w:p>
    <w:p w14:paraId="4FE449A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5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在"审案程序"上依赖由"该案被告利益集团提供的服务"</w:t>
      </w:r>
      <w:r>
        <w:rPr>
          <w:rFonts w:ascii="宋体" w:cs="仿宋_GB2312" w:eastAsia="宋体" w:hAnsi="仿宋_GB2312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</w:p>
    <w:p w14:paraId="09EBC95F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应当避免使用由被告利益集团提供服务的"微法院、云审、小程序"的</w:t>
      </w:r>
      <w:r>
        <w:rPr>
          <w:rFonts w:ascii="宋体" w:cs="仿宋_GB2312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而不改换。</w:t>
      </w:r>
    </w:p>
    <w:p w14:paraId="6798DC8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5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有必要提前告知"审判平台(云审、微法院)"与"微信支付"的利害关系</w:t>
      </w:r>
      <w:r>
        <w:rPr>
          <w:rFonts w:ascii="宋体" w:cs="仿宋_GB2312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不主动告知。</w:t>
      </w:r>
    </w:p>
    <w:p w14:paraId="065065A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cs="仿宋_GB2312" w:eastAsia="宋体" w:hAnsi="仿宋_GB2312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诉微信支付案的程序不公正也体现在"审案程序"上设计不够合理。</w:t>
      </w:r>
    </w:p>
    <w:p w14:paraId="ACCA2E7B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没及时告知并先予试用"云审、微法院"等审案平台，并几次"对原告重要提问不答复"。</w:t>
      </w:r>
    </w:p>
    <w:p w14:paraId="D1B7238B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/>
          <w:b w:val="false"/>
          <w:bCs w:val="false"/>
          <w:sz w:val="24"/>
          <w:szCs w:val="24"/>
          <w:u w:val="single"/>
          <w:lang w:val="en-US"/>
        </w:rPr>
        <w:t>过程设计不够公正: 在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原定开庭"前一天下班后(8月26日18:08)"</w:t>
      </w:r>
      <w:r>
        <w:rPr>
          <w:rFonts w:ascii="宋体" w:eastAsia="宋体" w:hAnsi="宋体"/>
          <w:b w:val="false"/>
          <w:bCs w:val="false"/>
          <w:sz w:val="24"/>
          <w:szCs w:val="24"/>
          <w:u w:val="single"/>
          <w:lang w:val="en-US"/>
        </w:rPr>
        <w:t>才发出"云审"账号</w:t>
      </w:r>
      <w:r>
        <w:rPr>
          <w:rFonts w:ascii="宋体" w:eastAsia="宋体" w:hAnsi="宋体"/>
          <w:sz w:val="24"/>
          <w:szCs w:val="24"/>
          <w:u w:val="single"/>
          <w:lang w:val="en-US"/>
        </w:rPr>
        <w:t>。</w:t>
      </w:r>
    </w:p>
    <w:p w14:paraId="9DE1FADF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u w:val="single"/>
          <w:lang w:val="en-US"/>
        </w:rPr>
        <w:t>"云审"与"微法院"都是腾讯系"微信小程序"; 原告明示过应避免使用"腾讯系服务"</w:t>
      </w:r>
      <w:r>
        <w:rPr>
          <w:rFonts w:ascii="宋体" w:eastAsia="宋体" w:hAnsi="宋体"/>
          <w:sz w:val="24"/>
          <w:szCs w:val="24"/>
          <w:lang w:val="en-US"/>
        </w:rPr>
        <w:t>。</w:t>
      </w:r>
    </w:p>
    <w:p w14:paraId="8AFFC00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lang w:val="en-US"/>
        </w:rPr>
        <w:t>"</w:t>
      </w:r>
      <w:r>
        <w:rPr>
          <w:rFonts w:ascii="宋体" w:eastAsia="宋体" w:hAnsi="宋体"/>
          <w:sz w:val="24"/>
          <w:szCs w:val="24"/>
          <w:u w:val="single"/>
          <w:lang w:val="en-US"/>
        </w:rPr>
        <w:t>互联网审判"应当设计有"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庭审前</w:t>
      </w:r>
      <w:r>
        <w:rPr>
          <w:rFonts w:ascii="宋体" w:eastAsia="宋体" w:hAnsi="宋体"/>
          <w:sz w:val="24"/>
          <w:szCs w:val="24"/>
          <w:u w:val="single"/>
          <w:lang w:val="en-US"/>
        </w:rPr>
        <w:t>调试与试用", "庭审时的应急", "审后补救</w:t>
      </w:r>
      <w:r>
        <w:rPr>
          <w:rFonts w:ascii="宋体" w:eastAsia="宋体" w:hAnsi="宋体"/>
          <w:sz w:val="24"/>
          <w:szCs w:val="24"/>
          <w:lang w:val="en-US"/>
        </w:rPr>
        <w:t>"。</w:t>
      </w:r>
    </w:p>
    <w:p w14:paraId="B01AE94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eastAsia="宋体" w:hAnsi="宋体"/>
          <w:i w:val="false"/>
          <w:iCs w:val="false"/>
          <w:sz w:val="24"/>
          <w:szCs w:val="24"/>
          <w:lang w:val="en-US"/>
        </w:rPr>
        <w:t>2025-08-18 20:43:05 原告提问: "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请问林法官和助理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什么时候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我们可以调试确认好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法院和本人的在线审理双向没问题</w:t>
      </w:r>
      <w:r>
        <w:rPr>
          <w:i w:val="false"/>
          <w:iCs w:val="false"/>
          <w:sz w:val="24"/>
          <w:szCs w:val="24"/>
          <w:lang w:val="en-US"/>
        </w:rPr>
        <w:t>？</w:t>
      </w:r>
      <w:r>
        <w:rPr>
          <w:rFonts w:ascii="宋体" w:eastAsia="宋体" w:hAnsi="宋体"/>
          <w:i w:val="false"/>
          <w:iCs w:val="false"/>
          <w:sz w:val="24"/>
          <w:szCs w:val="24"/>
          <w:lang w:val="en-US"/>
        </w:rPr>
        <w:t>"</w:t>
      </w:r>
    </w:p>
    <w:p w14:paraId="B0A0C924">
      <w:pPr>
        <w:pStyle w:val="style179"/>
        <w:numPr>
          <w:ilvl w:val="0"/>
          <w:numId w:val="22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2025-08-26 11:00:02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原告主动发送确认: 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为避免误解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先明确两点: </w:t>
      </w:r>
    </w:p>
    <w:p w14:paraId="8DA81042">
      <w:pPr>
        <w:pStyle w:val="style179"/>
        <w:numPr>
          <w:ilvl w:val="0"/>
          <w:numId w:val="17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法官选用"在线法庭"是"移动微法院(微信小程序版, 例如深圳移动微法院)"还是"互联网法院(网页版交互方式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例如杭州互联网法院)"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？</w:t>
      </w:r>
    </w:p>
    <w:p w14:paraId="39971DDA">
      <w:pPr>
        <w:pStyle w:val="style179"/>
        <w:numPr>
          <w:ilvl w:val="0"/>
          <w:numId w:val="17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开庭日期是"8月27日"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？</w:t>
      </w:r>
    </w:p>
    <w:p w14:paraId="93DAE586">
      <w:pPr>
        <w:pStyle w:val="style179"/>
        <w:numPr>
          <w:ilvl w:val="0"/>
          <w:numId w:val="28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被告"提交答辩状及证据"超期数天, </w:t>
      </w:r>
      <w:r>
        <w:rPr>
          <w:rFonts w:ascii="宋体" w:cs="Times New Roman" w:eastAsia="宋体" w:hAnsi="宋体" w:hint="default"/>
          <w:b/>
          <w:bCs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法官事前没提示, </w:t>
      </w:r>
      <w:r>
        <w:rPr>
          <w:rFonts w:ascii="宋体" w:cs="Times New Roman" w:eastAsia="宋体" w:hAnsi="Times New Roman" w:hint="default"/>
          <w:b/>
          <w:bCs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事后没有提请被告解释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B26602A8">
      <w:pPr>
        <w:pStyle w:val="style179"/>
        <w:numPr>
          <w:ilvl w:val="0"/>
          <w:numId w:val="24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2025-08-25 16:41:43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原告提问: "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请问法官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被告的答辩状怎么查看到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？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</w:p>
    <w:p w14:paraId="0CDFB4F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4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eastAsia="宋体" w:hAnsi="宋体"/>
          <w:sz w:val="24"/>
          <w:szCs w:val="24"/>
          <w:lang w:val="en-US"/>
        </w:rPr>
        <w:t>2025-08-26 09:25:45</w:t>
      </w:r>
      <w:r>
        <w:rPr>
          <w:sz w:val="24"/>
          <w:szCs w:val="24"/>
          <w:lang w:val="en-US"/>
        </w:rPr>
        <w:t>，</w:t>
      </w:r>
      <w:r>
        <w:rPr>
          <w:rFonts w:ascii="宋体" w:eastAsia="宋体" w:hAnsi="宋体"/>
          <w:sz w:val="24"/>
          <w:szCs w:val="24"/>
          <w:lang w:val="en-US"/>
        </w:rPr>
        <w:t>原告提问: "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请法官确定被告是否违反"《民事诉讼法》第一百二十八条", 因为本案7月25日立案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被告提交答辩状"8月25日"</w:t>
      </w:r>
      <w:r>
        <w:rPr>
          <w:rFonts w:ascii="宋体" w:eastAsia="宋体" w:hAnsi="宋体"/>
          <w:sz w:val="24"/>
          <w:szCs w:val="24"/>
          <w:lang w:val="en-US"/>
        </w:rPr>
        <w:t>。</w:t>
      </w:r>
    </w:p>
    <w:p w14:paraId="AB5AEEA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仿宋_GB2312" w:hint="default"/>
          <w:b/>
          <w:bCs/>
          <w:sz w:val="24"/>
          <w:szCs w:val="24"/>
          <w:u w:val="none"/>
          <w:lang w:val="en-US" w:eastAsia="zh-CN"/>
        </w:rPr>
        <w:t>"互联网在线审判"是当前原告"能参加"的唯一选择。也是最优选择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>。</w:t>
      </w:r>
    </w:p>
    <w:p w14:paraId="90039EEF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仿宋_GB2312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互联网在线审判"是当前原告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"能参加"的唯一选择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cr/>
        <w:t xml:space="preserve">    因为原告在司法救助状态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；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受政治迫害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5 年多没收入没工作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靠父母救济存活。</w:t>
      </w:r>
    </w:p>
    <w:p w14:paraId="3A9283C8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Chars="20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"线下开庭审理"成本高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原告在得到救助前将"因为没钱了而没有诉讼权的保障"。</w:t>
        <w:cr/>
        <w:t xml:space="preserve">    这两点事实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原告提交过"免缴诉讼费申请"及有关证据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法官和法院都知道。</w:t>
      </w:r>
    </w:p>
    <w:p w14:paraId="8AC8ABA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 xml:space="preserve">    在立案时提交过的"其他有关材料(证据)"也可以证实。法官可调查。</w:t>
      </w:r>
    </w:p>
    <w:p w14:paraId="E4AFE2C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>"互联网在线审判"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也是最优选择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</w:t>
      </w:r>
    </w:p>
    <w:p w14:paraId="DA8DDB7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  假设是"现场开庭"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 xml:space="preserve">: </w:t>
      </w:r>
    </w:p>
    <w:p w14:paraId="A5A888E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9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single"/>
          <w:lang w:val="en-US" w:eastAsia="zh-CN"/>
        </w:rPr>
        <w:t>庭审时间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 单次开庭约1-2小时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怎么保障"充分思辩调查"?</w:t>
      </w:r>
    </w:p>
    <w:p w14:paraId="54544DE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Chars="20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证据、事实和理由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根据案件进展是可能需要重新调查的。</w:t>
      </w:r>
    </w:p>
    <w:p w14:paraId="576C4D5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9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single"/>
          <w:lang w:val="en-US" w:eastAsia="zh-CN"/>
        </w:rPr>
        <w:t>开放程度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：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"现场庭审"是"闭卷",资源有限,人的因素影响大.</w:t>
      </w:r>
    </w:p>
    <w:p w14:paraId="B08A14CE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Chars="20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现场要查"法律条文"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"访问网络"、咨询外援、...怎么办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？</w:t>
      </w:r>
    </w:p>
    <w:p w14:paraId="81BE901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9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single"/>
          <w:lang w:val="en-US" w:eastAsia="zh-CN"/>
        </w:rPr>
        <w:t>成本效率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 吃住行、办公费用例如: 打印、复印、刻光盘等,</w:t>
      </w:r>
    </w:p>
    <w:p w14:paraId="5CBA153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Chars="20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效率低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一名法官同一时间只能审一个案。</w:t>
      </w:r>
    </w:p>
    <w:p w14:paraId="FA67051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  假设是"互联网审案"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</w:t>
      </w:r>
    </w:p>
    <w:p w14:paraId="05DF301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1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sz w:val="24"/>
          <w:szCs w:val="24"/>
          <w:u w:val="single"/>
          <w:lang w:val="en-US" w:eastAsia="zh-CN"/>
        </w:rPr>
        <w:t>庭审时间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: 可以有好几天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>原被告有充分时间"思辩、调查".</w:t>
      </w:r>
    </w:p>
    <w:p w14:paraId="E1BF682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1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仿宋_GB2312" w:hint="default"/>
          <w:b w:val="false"/>
          <w:bCs w:val="false"/>
          <w:sz w:val="24"/>
          <w:szCs w:val="24"/>
          <w:u w:val="single"/>
          <w:lang w:val="en-US" w:eastAsia="zh-CN"/>
        </w:rPr>
        <w:t>开放程度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>: "线上庭审"是"开卷", 资源充分, 更高度的公正.</w:t>
      </w:r>
    </w:p>
    <w:p w14:paraId="65AD95D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1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</w:pPr>
      <w:r>
        <w:rPr>
          <w:rFonts w:ascii="宋体" w:cs="仿宋_GB2312" w:eastAsia="宋体" w:hAnsi="仿宋_GB2312" w:hint="default"/>
          <w:b w:val="false"/>
          <w:bCs w:val="false"/>
          <w:sz w:val="24"/>
          <w:szCs w:val="24"/>
          <w:u w:val="single"/>
          <w:lang w:val="en-US" w:eastAsia="zh-CN"/>
        </w:rPr>
        <w:t>成本效率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 xml:space="preserve">: </w:t>
      </w:r>
      <w:r>
        <w:rPr>
          <w:rFonts w:ascii="宋体" w:cs="仿宋_GB2312" w:eastAsia="宋体" w:hAnsi="仿宋_GB2312" w:hint="default"/>
          <w:sz w:val="24"/>
          <w:szCs w:val="24"/>
          <w:u w:val="single"/>
          <w:lang w:val="en-US" w:eastAsia="zh-CN"/>
        </w:rPr>
        <w:t>成本显著更低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是申请人当前"唯一能参与"的;</w:t>
      </w:r>
    </w:p>
    <w:p w14:paraId="78DB6EB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1260" w:firstLine="0"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效率高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一名法官可同时审好几个案。</w:t>
      </w:r>
    </w:p>
    <w:p w14:paraId="25152380">
      <w:pPr>
        <w:pStyle w:val="style179"/>
        <w:numPr>
          <w:ilvl w:val="0"/>
          <w:numId w:val="28"/>
        </w:numPr>
        <w:kinsoku w:val="false"/>
        <w:autoSpaceDE w:val="false"/>
        <w:autoSpaceDN w:val="false"/>
        <w:adjustRightInd/>
        <w:snapToGrid/>
        <w:spacing w:lineRule="auto" w:line="240"/>
        <w:ind w:firstLineChars="0"/>
        <w:jc w:val="both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前海法院于2025年08月29日做出的"25-8980决定书"驳回申请人的回避申请:</w:t>
      </w:r>
    </w:p>
    <w:p w14:paraId="C2783498">
      <w:pPr>
        <w:pStyle w:val="style179"/>
        <w:numPr>
          <w:ilvl w:val="0"/>
          <w:numId w:val="0"/>
        </w:numPr>
        <w:kinsoku w:val="false"/>
        <w:autoSpaceDE w:val="false"/>
        <w:autoSpaceDN w:val="false"/>
        <w:adjustRightInd/>
        <w:snapToGrid/>
        <w:spacing w:lineRule="auto" w:line="240"/>
        <w:ind w:left="420" w:firstLine="0" w:firstLineChars="0"/>
        <w:jc w:val="both"/>
        <w:outlineLvl w:val="9"/>
        <w:rPr>
          <w:rFonts w:ascii="宋体" w:eastAsia="宋体"/>
          <w:sz w:val="24"/>
          <w:szCs w:val="24"/>
        </w:rPr>
      </w:pPr>
      <w:r>
        <w:rPr>
          <w:rFonts w:ascii="宋体" w:eastAsia="宋体"/>
          <w:sz w:val="24"/>
          <w:szCs w:val="24"/>
          <w:u w:val="single"/>
          <w:lang w:val="en-US"/>
        </w:rPr>
        <w:t>前海法院知道原告没钱参加现场开庭</w:t>
      </w:r>
      <w:r>
        <w:rPr>
          <w:sz w:val="24"/>
          <w:szCs w:val="24"/>
          <w:u w:val="single"/>
          <w:lang w:val="en-US"/>
        </w:rPr>
        <w:t>，</w:t>
      </w:r>
      <w:r>
        <w:rPr>
          <w:rFonts w:ascii="宋体" w:eastAsia="宋体"/>
          <w:sz w:val="24"/>
          <w:szCs w:val="24"/>
          <w:u w:val="single"/>
          <w:lang w:val="en-US"/>
        </w:rPr>
        <w:t>"互联网在线审判"是原告"能参加"的唯一选择</w:t>
      </w:r>
      <w:r>
        <w:rPr>
          <w:rFonts w:ascii="宋体" w:eastAsia="宋体"/>
          <w:sz w:val="24"/>
          <w:szCs w:val="24"/>
          <w:lang w:val="en-US"/>
        </w:rPr>
        <w:t>。</w:t>
      </w:r>
    </w:p>
    <w:p w14:paraId="34854261">
      <w:pPr>
        <w:kinsoku w:val="false"/>
        <w:autoSpaceDE w:val="false"/>
        <w:autoSpaceDN w:val="false"/>
        <w:adjustRightInd/>
        <w:snapToGrid/>
        <w:spacing w:lineRule="auto" w:line="240"/>
        <w:ind w:left="420" w:firstLine="0" w:firstLineChars="0"/>
        <w:jc w:val="both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  <w:r>
        <w:rPr>
          <w:rFonts w:ascii="宋体" w:cs="仿宋_GB2312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本院院长认为，本院拟使用“深圳移动微法院”或“云审”在线开庭系基于申请人何义军提出的在线审理申请而作出，</w:t>
      </w:r>
      <w:r>
        <w:rPr>
          <w:rFonts w:ascii="宋体" w:cs="仿宋_GB2312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在何义军提出异议后已告知其可以改期到现场开庭</w:t>
      </w:r>
      <w:r>
        <w:rPr>
          <w:rFonts w:ascii="宋体" w:cs="仿宋_GB2312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07AEBADB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此外，审判员林艳不是本案当事人或者当事人、诉讼代理人近亲属，与本案没有利害关系，与本案当事人、诉讼代理人不存在其他可能影响对案件公正审理的情形。申请人的回避申请不符合法定理由，应予驳回。依据《中华人民共和国民事诉讼法》第五十条规定，决定如下：驳回何义军提出的回避申请。如不服本决定，可以在接到决定书时向本院申请复议一次。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</w:p>
    <w:p w14:paraId="9556954C">
      <w:pPr>
        <w:pStyle w:val="style179"/>
        <w:numPr>
          <w:ilvl w:val="0"/>
          <w:numId w:val="28"/>
        </w:numPr>
        <w:kinsoku w:val="false"/>
        <w:autoSpaceDE w:val="false"/>
        <w:autoSpaceDN w:val="false"/>
        <w:adjustRightInd/>
        <w:snapToGrid/>
        <w:spacing w:lineRule="auto" w:line="240"/>
        <w:ind w:firstLineChars="0"/>
        <w:jc w:val="both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前海法院于2025年09月02日做出的"25-8980复议决定书"驳回原告行政复议:</w:t>
      </w:r>
    </w:p>
    <w:p w14:paraId="1BD2AE9F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  <w:r>
        <w:rPr>
          <w:rFonts w:ascii="宋体" w:cs="仿宋_GB2312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经复议, 本院院长认为, 本案不存在审判人员应予回避的法定理由，申请人的复议申请不符合法律规定，本院不予支持。依据《中华人民共和国民事诉讼法》第四十七条、第五十条的规定，决定如下：驳回何义军的复议申请，维持原决定。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</w:p>
    <w:p w14:paraId="C1B08FA2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eastAsia="宋体"/>
          <w:sz w:val="24"/>
          <w:szCs w:val="24"/>
        </w:rPr>
      </w:pPr>
    </w:p>
    <w:p w14:paraId="B8B0A794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eastAsia="宋体"/>
          <w:sz w:val="24"/>
          <w:szCs w:val="24"/>
          <w:lang w:val="en-US"/>
        </w:rPr>
      </w:pPr>
      <w:r>
        <w:rPr>
          <w:rFonts w:ascii="宋体" w:eastAsia="宋体"/>
          <w:b/>
          <w:bCs/>
          <w:sz w:val="24"/>
          <w:szCs w:val="24"/>
          <w:lang w:val="en-US"/>
        </w:rPr>
        <w:t>证据</w:t>
      </w:r>
      <w:r>
        <w:rPr>
          <w:rFonts w:ascii="宋体" w:eastAsia="宋体"/>
          <w:sz w:val="24"/>
          <w:szCs w:val="24"/>
          <w:lang w:val="en-US"/>
        </w:rPr>
        <w:t>:</w:t>
      </w:r>
    </w:p>
    <w:p w14:paraId="84E2872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eastAsia="宋体"/>
          <w:sz w:val="24"/>
          <w:szCs w:val="24"/>
          <w:lang w:val="en-US"/>
        </w:rPr>
        <w:t>原告的"行政复议申请书" 及 前海法院的"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25-8980复议决定书</w:t>
      </w:r>
      <w:r>
        <w:rPr>
          <w:rFonts w:ascii="宋体" w:eastAsia="宋体"/>
          <w:sz w:val="24"/>
          <w:szCs w:val="24"/>
          <w:lang w:val="en-US"/>
        </w:rPr>
        <w:t>"。</w:t>
      </w:r>
    </w:p>
    <w:p w14:paraId="2E3D167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eastAsia="宋体"/>
          <w:sz w:val="24"/>
          <w:szCs w:val="24"/>
          <w:lang w:val="en-US"/>
        </w:rPr>
        <w:t>原告的"申请前海法院回避申请书" 及 前海法院的"25-8980决定书"。</w:t>
      </w:r>
    </w:p>
    <w:p w14:paraId="D0E4A68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sz w:val="24"/>
          <w:szCs w:val="24"/>
        </w:rPr>
      </w:pPr>
      <w:r>
        <w:rPr>
          <w:rFonts w:ascii="宋体" w:eastAsia="宋体"/>
          <w:sz w:val="24"/>
          <w:szCs w:val="24"/>
          <w:lang w:val="en-US"/>
        </w:rPr>
        <w:t>最高法违反宪法调查报告 以及 原告对"最高人民法院"的行为误作为起诉状</w:t>
      </w:r>
      <w:r>
        <w:rPr>
          <w:sz w:val="24"/>
          <w:szCs w:val="24"/>
          <w:lang w:val="en-US"/>
        </w:rPr>
        <w:t>；</w:t>
      </w:r>
    </w:p>
    <w:p w14:paraId="0CB7C49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sz w:val="24"/>
          <w:szCs w:val="24"/>
        </w:rPr>
      </w:pPr>
      <w:r>
        <w:rPr>
          <w:rFonts w:ascii="宋体" w:eastAsia="宋体" w:hAnsi="宋体"/>
          <w:sz w:val="24"/>
          <w:szCs w:val="24"/>
          <w:lang w:val="en-US"/>
        </w:rPr>
        <w:t>诉微信支付案起诉状</w:t>
      </w:r>
      <w:r>
        <w:rPr>
          <w:sz w:val="24"/>
          <w:szCs w:val="24"/>
          <w:lang w:val="en-US"/>
        </w:rPr>
        <w:t>，</w:t>
      </w:r>
      <w:r>
        <w:rPr>
          <w:rFonts w:ascii="宋体" w:eastAsia="宋体" w:hAnsi="宋体"/>
          <w:sz w:val="24"/>
          <w:szCs w:val="24"/>
          <w:lang w:val="en-US"/>
        </w:rPr>
        <w:t>及"深圳移动微法院"的"掌上法庭"的有关正式通信。</w:t>
      </w:r>
    </w:p>
    <w:p w14:paraId="8C671078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sz w:val="24"/>
          <w:szCs w:val="24"/>
        </w:rPr>
      </w:pPr>
    </w:p>
    <w:p w14:paraId="EB5DD10E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6217568</wp:posOffset>
            </wp:positionH>
            <wp:positionV relativeFrom="page">
              <wp:posOffset>10332854</wp:posOffset>
            </wp:positionV>
            <wp:extent cx="404786" cy="719332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340000">
                      <a:off x="0" y="0"/>
                      <a:ext cx="404786" cy="719332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92E8B5B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</w:pPr>
      <w:r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  <w:t>此致</w:t>
      </w:r>
    </w:p>
    <w:p w14:paraId="2583AE8A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sz w:val="24"/>
          <w:szCs w:val="24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深圳市中级人民法院</w:t>
      </w:r>
      <w:r>
        <w:rPr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5789608</wp:posOffset>
            </wp:positionH>
            <wp:positionV relativeFrom="page">
              <wp:posOffset>10722414</wp:posOffset>
            </wp:positionV>
            <wp:extent cx="603908" cy="479730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908" cy="47973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AB359B60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</w:pPr>
    </w:p>
    <w:p w14:paraId="76E6D65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5250" w:left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single"/>
          <w:lang w:val="en-US" w:eastAsia="zh-CN"/>
        </w:rPr>
      </w:pP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申请人（签名或盖章）：</w:t>
      </w:r>
      <w:r>
        <w:rPr>
          <w:rFonts w:ascii="仿宋_GB2312" w:cs="仿宋_GB2312" w:eastAsia="仿宋_GB2312" w:hAnsi="仿宋_GB2312" w:hint="eastAsia"/>
          <w:sz w:val="24"/>
          <w:szCs w:val="24"/>
          <w:u w:val="single"/>
          <w:lang w:val="en-US" w:eastAsia="zh-CN"/>
        </w:rPr>
        <w:t xml:space="preserve">        </w:t>
      </w:r>
    </w:p>
    <w:p w14:paraId="4CEB85A1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1050" w:leftChars="0" w:firstLine="640" w:firstLineChars="20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32"/>
          <w:szCs w:val="32"/>
          <w:lang w:val="en-US" w:eastAsia="zh-CN"/>
        </w:rPr>
      </w:pP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 xml:space="preserve">                                 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      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2025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年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09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月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05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日</w:t>
      </w:r>
    </w:p>
    <w:sectPr>
      <w:footerReference w:type="default" r:id="rId4"/>
      <w:type w:val="continuous"/>
      <w:pgSz w:w="12240" w:h="20160" w:orient="portrait"/>
      <w:pgMar w:top="1814" w:right="1474" w:bottom="1757" w:left="1474" w:header="850" w:footer="992" w:gutter="0"/>
      <w:pgNumType w:fmt="decimal"/>
      <w:cols w:space="720" w:num="1"/>
      <w:rtlGutter w:val="false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altName w:val="方正小标宋简体"/>
    <w:panose1 w:val="02010601030000010101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panose1 w:val="02010609030000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2010609030000010101"/>
    <w:charset w:val="86"/>
    <w:family w:val="auto"/>
    <w:pitch w:val="default"/>
    <w:sig w:usb0="00000001" w:usb1="080E0000" w:usb2="00000000" w:usb3="00000000" w:csb0="00040000" w:csb1="00000000"/>
  </w:font>
  <w:font w:name="方正小标宋_GBK">
    <w:altName w:val="方正小标宋_GBK"/>
    <w:panose1 w:val="02000000000000000000"/>
    <w:charset w:val="86"/>
    <w:family w:val="auto"/>
    <w:pitch w:val="default"/>
    <w:sig w:usb0="00000001" w:usb1="080E0000" w:usb2="00000000" w:usb3="00000000" w:csb0="00040000" w:csb1="00000000"/>
  </w:font>
  <w:font w:name="方正楷体_GBK">
    <w:altName w:val="方正楷体_GBK"/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altName w:val="方正黑体_GBK"/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仿宋">
    <w:altName w:val="仿宋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长城小标宋体">
    <w:altName w:val="方正小标宋_GBK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中宋">
    <w:altName w:val="宋体"/>
    <w:panose1 w:val="02010600040000010101"/>
    <w:charset w:val="00"/>
    <w:family w:val="auto"/>
    <w:pitch w:val="default"/>
    <w:sig w:usb0="00000000" w:usb1="00000000" w:usb2="00000000" w:usb3="00000000" w:csb0="0004009F" w:csb1="DFD70000"/>
  </w:font>
  <w:font w:name="楷体">
    <w:altName w:val="楷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Microsoft YaHe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26C4B468">
    <w:pPr>
      <w:pStyle w:val="style32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文本框 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 w14:paraId="653CFF51">
                          <w:pPr>
                            <w:pStyle w:val="style32"/>
                            <w:rPr/>
                          </w:pPr>
                          <w:r>
                            <w:t xml:space="preserve">— </w:t>
                          </w:r>
                          <w:r>
                            <w:rPr/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0.0pt;margin-top:0.0pt;width:144.0pt;height:144.0pt;z-index:2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/>
              <v:fill/>
              <v:textbox inset="0.0pt,0.0pt,0.0pt,0.0pt" style="mso-fit-shape-to-text:true;">
                <w:txbxContent>
                  <w:p w14:paraId="653CFF51">
                    <w:pPr>
                      <w:pStyle w:val="style32"/>
                      <w:rPr/>
                    </w:pPr>
                    <w:r>
                      <w:t xml:space="preserve">— </w:t>
                    </w:r>
                    <w:r>
                      <w:rPr/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rPr/>
                      <w:fldChar w:fldCharType="separate"/>
                    </w:r>
                    <w:r>
                      <w:t>1</w:t>
                    </w:r>
                    <w:r>
                      <w:rPr/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CB9E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hybridMultilevel"/>
    <w:tmpl w:val="E4828551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hybridMultilevel"/>
    <w:tmpl w:val="22DD6A06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3"/>
    <w:multiLevelType w:val="hybridMultilevel"/>
    <w:tmpl w:val="82C1D068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0000004"/>
    <w:multiLevelType w:val="hybridMultilevel"/>
    <w:tmpl w:val="A3CA0DB5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5"/>
    <w:multiLevelType w:val="hybridMultilevel"/>
    <w:tmpl w:val="CF22D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06"/>
    <w:multiLevelType w:val="hybridMultilevel"/>
    <w:tmpl w:val="1382A0F7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00000007"/>
    <w:multiLevelType w:val="hybridMultilevel"/>
    <w:tmpl w:val="351013FE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00000008"/>
    <w:multiLevelType w:val="hybridMultilevel"/>
    <w:tmpl w:val="443BAFD9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0000009"/>
    <w:multiLevelType w:val="hybridMultilevel"/>
    <w:tmpl w:val="72CE2363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0000000A"/>
    <w:multiLevelType w:val="hybridMultilevel"/>
    <w:tmpl w:val="604DF695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B"/>
    <w:multiLevelType w:val="hybridMultilevel"/>
    <w:tmpl w:val="7941C837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0000000C"/>
    <w:multiLevelType w:val="hybridMultilevel"/>
    <w:tmpl w:val="1207A5CD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000000D"/>
    <w:multiLevelType w:val="hybridMultilevel"/>
    <w:tmpl w:val="91C0F3B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0000000E"/>
    <w:multiLevelType w:val="hybridMultilevel"/>
    <w:tmpl w:val="8BA55EE6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0000000F"/>
    <w:multiLevelType w:val="hybridMultilevel"/>
    <w:tmpl w:val="8438030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00000010"/>
    <w:multiLevelType w:val="hybridMultilevel"/>
    <w:tmpl w:val="F61B40A7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00000011"/>
    <w:multiLevelType w:val="hybridMultilevel"/>
    <w:tmpl w:val="14FCBA79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00000012"/>
    <w:multiLevelType w:val="hybridMultilevel"/>
    <w:tmpl w:val="AC9B0D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00000013"/>
    <w:multiLevelType w:val="hybridMultilevel"/>
    <w:tmpl w:val="D48FD5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4"/>
    <w:multiLevelType w:val="hybridMultilevel"/>
    <w:tmpl w:val="EAB913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00000015"/>
    <w:multiLevelType w:val="hybridMultilevel"/>
    <w:tmpl w:val="E4460750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2">
    <w:nsid w:val="00000016"/>
    <w:multiLevelType w:val="hybridMultilevel"/>
    <w:tmpl w:val="0699705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3">
    <w:nsid w:val="00000017"/>
    <w:multiLevelType w:val="hybridMultilevel"/>
    <w:tmpl w:val="425E808B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00000018"/>
    <w:multiLevelType w:val="hybridMultilevel"/>
    <w:tmpl w:val="A46347BE"/>
    <w:lvl w:ilvl="0" w:tplc="0409000F">
      <w:start w:val="8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7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2"/>
  </w:num>
  <w:num w:numId="17">
    <w:abstractNumId w:val="12"/>
  </w:num>
  <w:num w:numId="18">
    <w:abstractNumId w:val="13"/>
  </w:num>
  <w:num w:numId="19">
    <w:abstractNumId w:val="14"/>
  </w:num>
  <w:num w:numId="20">
    <w:abstractNumId w:val="15"/>
  </w:num>
  <w:num w:numId="21">
    <w:abstractNumId w:val="16"/>
  </w:num>
  <w:num w:numId="22">
    <w:abstractNumId w:val="16"/>
  </w:num>
  <w:num w:numId="23">
    <w:abstractNumId w:val="17"/>
  </w:num>
  <w:num w:numId="24">
    <w:abstractNumId w:val="17"/>
  </w:num>
  <w:num w:numId="25">
    <w:abstractNumId w:val="18"/>
  </w:num>
  <w:num w:numId="26">
    <w:abstractNumId w:val="18"/>
  </w:num>
  <w:num w:numId="27">
    <w:abstractNumId w:val="19"/>
  </w:num>
  <w:num w:numId="28">
    <w:abstractNumId w:val="19"/>
  </w:num>
  <w:num w:numId="29">
    <w:abstractNumId w:val="20"/>
  </w:num>
  <w:num w:numId="30">
    <w:abstractNumId w:val="21"/>
  </w:num>
  <w:num w:numId="31">
    <w:abstractNumId w:val="21"/>
  </w:num>
  <w:num w:numId="32">
    <w:abstractNumId w:val="22"/>
  </w:num>
  <w:num w:numId="33">
    <w:abstractNumId w:val="22"/>
  </w:num>
  <w:num w:numId="34">
    <w:abstractNumId w:val="23"/>
  </w:num>
  <w:num w:numId="35">
    <w:abstractNumId w:val="23"/>
  </w:num>
  <w:num w:numId="36">
    <w:abstractNumId w:val="2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2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Times New Roman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uiPriority w:val="0"/>
    <w:pPr>
      <w:widowControl w:val="false"/>
      <w:jc w:val="both"/>
    </w:pPr>
    <w:rPr>
      <w:rFonts w:ascii="Calibri" w:cs="Times New Roman" w:eastAsia="宋体" w:hAnsi="Calibri"/>
      <w:kern w:val="2"/>
      <w:sz w:val="21"/>
      <w:szCs w:val="24"/>
      <w:lang w:val="en-US" w:bidi="ar-SA" w:eastAsia="zh-CN"/>
    </w:r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uiPriority w:val="0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both"/>
      <w:outlineLvl w:val="9"/>
    </w:pPr>
    <w:rPr>
      <w:sz w:val="18"/>
    </w:rPr>
  </w:style>
  <w:style w:type="paragraph" w:styleId="style179">
    <w:name w:val="List Paragraph"/>
    <w:basedOn w:val="style0"/>
    <w:next w:val="style179"/>
    <w:qFormat/>
    <w:pPr>
      <w:kinsoku w:val="false"/>
      <w:autoSpaceDE w:val="false"/>
      <w:autoSpaceDN w:val="false"/>
      <w:adjustRightInd w:val="false"/>
      <w:spacing w:after="0" w:lineRule="auto" w:line="240"/>
      <w:ind w:firstLine="420" w:firstLineChars="200"/>
      <w:jc w:val="left"/>
    </w:pPr>
    <w:rPr>
      <w:rFonts w:ascii="Times New Roman" w:cs="Times New Roman" w:eastAsia="宋体" w:hAnsi="Times New Roman"/>
      <w:noProof/>
      <w:snapToGrid w:val="false"/>
      <w:color w:val="000000"/>
      <w:kern w:val="0"/>
      <w:sz w:val="21"/>
    </w:rPr>
  </w:style>
  <w:style w:type="character" w:styleId="style85">
    <w:name w:val="Hyperlink"/>
    <w:basedOn w:val="style65"/>
    <w:next w:val="style85"/>
    <w:rPr>
      <w:rFonts w:ascii="Times New Roman" w:cs="Times New Roman" w:eastAsia="宋体" w:hAnsi="Times New Roman"/>
      <w:color w:val="0000ff"/>
      <w:sz w:val="21"/>
      <w:u w:val="single"/>
    </w:rPr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Words>2610</Words>
  <Pages>30</Pages>
  <Characters>2832</Characters>
  <Application>WPS Office</Application>
  <DocSecurity>0</DocSecurity>
  <Paragraphs>95</Paragraphs>
  <ScaleCrop>false</ScaleCrop>
  <LinksUpToDate>false</LinksUpToDate>
  <CharactersWithSpaces>2984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2014-11-07T20:08:00Z</dcterms:created>
  <dc:creator>Administrator</dc:creator>
  <lastModifiedBy>2312DRA50C</lastModifiedBy>
  <lastPrinted>2025-06-01T09:30:57Z</lastPrinted>
  <dcterms:modified xsi:type="dcterms:W3CDTF">2025-09-05T01:06:05Z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baaf80ccc73f470aaca048c8fb8589e9_23</vt:lpwstr>
  </property>
</Properties>
</file>