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14:paraId="DEDEEFF8">
      <w:pPr>
        <w:pStyle w:val="style0"/>
        <w:jc w:val="center"/>
        <w:rPr>
          <w:b/>
          <w:bCs/>
          <w:sz w:val="32"/>
          <w:szCs w:val="32"/>
        </w:rPr>
      </w:pPr>
      <w:bookmarkStart w:id="0" w:name="_GoBack"/>
      <w:bookmarkEnd w:id="0"/>
      <w:r>
        <w:rPr>
          <w:b/>
          <w:bCs/>
          <w:sz w:val="32"/>
          <w:szCs w:val="32"/>
          <w:lang w:val="en-US"/>
        </w:rPr>
        <w:t>更新</w:t>
      </w:r>
      <w:r>
        <w:rPr>
          <w:b/>
          <w:bCs/>
          <w:sz w:val="32"/>
          <w:szCs w:val="32"/>
        </w:rPr>
        <w:t>起诉请求</w:t>
      </w:r>
      <w:r>
        <w:rPr>
          <w:b/>
          <w:bCs/>
          <w:sz w:val="32"/>
          <w:szCs w:val="32"/>
          <w:lang w:val="en-US"/>
        </w:rPr>
        <w:t xml:space="preserve"> 申请</w:t>
      </w:r>
    </w:p>
    <w:p w14:paraId="73EA9561">
      <w:pPr>
        <w:pStyle w:val="style0"/>
        <w:jc w:val="center"/>
        <w:rPr>
          <w:b/>
          <w:bCs/>
          <w:sz w:val="32"/>
          <w:szCs w:val="32"/>
        </w:rPr>
      </w:pPr>
    </w:p>
    <w:p w14:paraId="85649E00">
      <w:pPr>
        <w:pStyle w:val="style0"/>
        <w:rPr/>
      </w:pPr>
      <w:r>
        <w:t>1.退一赔十网络服务合同支付款502.6</w:t>
      </w:r>
      <w:r>
        <w:rPr>
          <w:lang w:val="en-US"/>
        </w:rPr>
        <w:t>0</w:t>
      </w:r>
      <w:r>
        <w:t>(10×50.26)元人民币。</w:t>
      </w:r>
    </w:p>
    <w:p w14:paraId="26D159EE">
      <w:pPr>
        <w:pStyle w:val="style0"/>
        <w:rPr/>
      </w:pPr>
      <w:r>
        <w:t>2.被告支付"损失赔偿金(起诉期)"</w:t>
      </w:r>
      <w:r>
        <w:rPr>
          <w:lang w:val="en-US"/>
        </w:rPr>
        <w:t>555.60万</w:t>
      </w:r>
      <w:r>
        <w:t>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20×27.78万)</w:t>
      </w:r>
      <w:r>
        <w:t>人民币。</w:t>
      </w:r>
    </w:p>
    <w:p w14:paraId="DB88B712">
      <w:pPr>
        <w:pStyle w:val="style0"/>
        <w:rPr/>
      </w:pPr>
      <w:r>
        <w:t>3.被告支付"损失赔偿金(审理期)"</w:t>
      </w:r>
      <w:r>
        <w:rPr>
          <w:lang w:val="en-US"/>
        </w:rPr>
        <w:t>1111.20万</w:t>
      </w:r>
      <w:r>
        <w:t>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40×27.78万</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t>人民币</w:t>
      </w:r>
      <w:r>
        <w:rPr>
          <w:lang w:val="en-US"/>
        </w:rPr>
        <w:t>。</w:t>
      </w:r>
    </w:p>
    <w:p w14:paraId="1D651B81">
      <w:pPr>
        <w:pStyle w:val="style0"/>
        <w:rPr/>
      </w:pPr>
      <w:r>
        <w:t>4.被告承担因本案造成的其它成本和费用；包括但不限于律师费、诉讼费、交通费等。</w:t>
      </w:r>
    </w:p>
    <w:p w14:paraId="24A63F58">
      <w:pPr>
        <w:pStyle w:val="style0"/>
        <w:rPr/>
      </w:pPr>
      <w:r>
        <w:t>5.原告保留已诉请之外的其他所有权利。</w:t>
      </w:r>
    </w:p>
    <w:p w14:paraId="E35CF6B6">
      <w:pPr>
        <w:pStyle w:val="style0"/>
        <w:rPr/>
      </w:pPr>
    </w:p>
    <w:p w14:paraId="FE480D00">
      <w:pPr>
        <w:pStyle w:val="style0"/>
        <w:rPr>
          <w:b/>
          <w:bCs/>
          <w:sz w:val="28"/>
          <w:szCs w:val="28"/>
          <w:lang w:val="en-US"/>
        </w:rPr>
      </w:pPr>
      <w:r>
        <w:rPr>
          <w:lang w:val="en-US"/>
        </w:rPr>
        <w:t>即本案的 "</w:t>
      </w:r>
      <w:r>
        <w:rPr>
          <w:b/>
          <w:bCs/>
          <w:lang w:val="en-US"/>
        </w:rPr>
        <w:t>标的额</w:t>
      </w:r>
      <w:r>
        <w:rPr>
          <w:lang w:val="en-US"/>
        </w:rPr>
        <w:t>" 应当更新成16668502.60</w:t>
      </w:r>
      <w:r>
        <w:rPr>
          <w:b/>
          <w:bCs/>
          <w:lang w:val="en-US"/>
        </w:rPr>
        <w:t>元人民币</w:t>
      </w:r>
      <w:r>
        <w:rPr>
          <w:lang w:val="en-US"/>
        </w:rPr>
        <w:t>(502.60+5556000+11112000元)。</w:t>
      </w:r>
    </w:p>
    <w:p w14:paraId="44715DE9">
      <w:pPr>
        <w:pStyle w:val="style0"/>
        <w:rPr>
          <w:b/>
          <w:bCs/>
          <w:sz w:val="21"/>
          <w:szCs w:val="21"/>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原告提议: 为惩罚平台方有意侵权, 损失赔偿应当对标"被告法定代表人郑浩剑"的年实际收入。</w:t>
      </w:r>
    </w:p>
    <w:p w14:paraId="9ADB7877">
      <w:pPr>
        <w:pStyle w:val="style0"/>
        <w:rPr>
          <w:b/>
          <w:bCs/>
          <w:sz w:val="28"/>
          <w:szCs w:val="28"/>
          <w:lang w:val="en-US"/>
        </w:rPr>
      </w:pPr>
      <w:r>
        <w:rPr>
          <w:b/>
          <w:bCs/>
          <w:sz w:val="21"/>
          <w:szCs w:val="21"/>
          <w:lang w:val="en-US"/>
        </w:rPr>
        <w:t>事实、理由 和 证据</w:t>
      </w:r>
      <w:r>
        <w:rPr>
          <w:b/>
          <w:bCs/>
          <w:sz w:val="28"/>
          <w:szCs w:val="28"/>
          <w:lang w:val="en-US"/>
        </w:rPr>
        <w:t>:</w:t>
      </w:r>
    </w:p>
    <w:p w14:paraId="CABCF95F">
      <w:pPr>
        <w:pStyle w:val="style179"/>
        <w:numPr>
          <w:ilvl w:val="0"/>
          <w:numId w:val="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被告在立案后，仍以市场与社会支配地位，意图"不正当影响与操纵案件审理和法治公正"</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目的"损害民众利益"并"免除被告平台方的违约违法犯罪责任"</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事实证据确凿("证据3-5")。</w:t>
      </w:r>
    </w:p>
    <w:p w14:paraId="F2AD145E">
      <w:pPr>
        <w:pStyle w:val="style179"/>
        <w:numPr>
          <w:ilvl w:val="0"/>
          <w:numId w:val="1"/>
        </w:numPr>
        <w:spacing w:lineRule="auto" w:line="240"/>
        <w:ind w:firstLineChars="0"/>
        <w:jc w:val="both"/>
        <w:rPr/>
      </w:pPr>
      <w:r>
        <w:rPr>
          <w:u w:val="single"/>
          <w:lang w:val="en-US"/>
        </w:rPr>
        <w:t>立案前的190多天, 被告明知是被告方过错责任, 并接收到原告多日多方多次投诉索赔, 不退款不赔付; 有意造成原告巨大损失</w:t>
      </w:r>
      <w:r>
        <w:rPr>
          <w:lang w:val="en-US"/>
        </w:rPr>
        <w:t>；事实违反商业道德、违约、违规、违法犯罪行为。</w:t>
      </w:r>
    </w:p>
    <w:p w14:paraId="786E88C3">
      <w:pPr>
        <w:pStyle w:val="style179"/>
        <w:numPr>
          <w:ilvl w:val="0"/>
          <w:numId w:val="1"/>
        </w:numPr>
        <w:spacing w:lineRule="auto" w:line="240"/>
        <w:ind w:firstLineChars="0"/>
        <w:jc w:val="both"/>
        <w:rPr/>
      </w:pPr>
      <w:r>
        <w:rPr>
          <w:lang w:val="en-US"/>
        </w:rPr>
        <w:t>立案后，"8月4日对原告的商业情报攻击电话" 与 "8月12日才仅补退款50.26元"，</w:t>
      </w:r>
    </w:p>
    <w:p w14:paraId="C5824C01">
      <w:pPr>
        <w:pStyle w:val="style179"/>
        <w:numPr>
          <w:ilvl w:val="0"/>
          <w:numId w:val="0"/>
        </w:numPr>
        <w:spacing w:lineRule="auto" w:line="240"/>
        <w:ind w:left="420" w:firstLine="0" w:firstLineChars="0"/>
        <w:jc w:val="both"/>
        <w:rPr>
          <w:lang w:val="en-US"/>
        </w:rPr>
      </w:pPr>
      <w:r>
        <w:rPr>
          <w:u w:val="single"/>
          <w:lang w:val="en-US"/>
        </w:rPr>
        <w:t>目的是影响并操纵"本案有关人员的认知": "只是50.26元, 晚退款190天, 而且已补退款"</w:t>
      </w:r>
      <w:r>
        <w:rPr>
          <w:lang w:val="en-US"/>
        </w:rPr>
        <w:t>.</w:t>
      </w:r>
    </w:p>
    <w:p w14:paraId="39A4240E">
      <w:pPr>
        <w:pStyle w:val="style179"/>
        <w:numPr>
          <w:ilvl w:val="0"/>
          <w:numId w:val="0"/>
        </w:numPr>
        <w:spacing w:lineRule="auto" w:line="240"/>
        <w:ind w:left="420" w:firstLine="0" w:firstLineChars="0"/>
        <w:jc w:val="both"/>
        <w:rPr>
          <w:lang w:val="en-US"/>
        </w:rPr>
      </w:pPr>
      <w:r>
        <w:rPr>
          <w:lang w:val="en-US"/>
        </w:rPr>
        <w:t>理由有如下三点:</w:t>
      </w:r>
    </w:p>
    <w:p w14:paraId="B01182C1">
      <w:pPr>
        <w:pStyle w:val="style179"/>
        <w:numPr>
          <w:ilvl w:val="0"/>
          <w:numId w:val="15"/>
        </w:numPr>
        <w:spacing w:lineRule="auto" w:line="240"/>
        <w:ind w:firstLineChars="0"/>
        <w:jc w:val="both"/>
        <w:rPr>
          <w:lang w:val="en-US"/>
        </w:rPr>
      </w:pPr>
      <w:r>
        <w:rPr>
          <w:u w:val="single"/>
          <w:lang w:val="en-US"/>
        </w:rPr>
        <w:t>立案前的190多天，被告怎么不退款</w:t>
      </w:r>
      <w:r>
        <w:rPr>
          <w:lang w:val="en-US"/>
        </w:rPr>
        <w:t>？有意违约违规(被告全球头部平台不是办不到)。</w:t>
      </w:r>
    </w:p>
    <w:p w14:paraId="BB7F1C2B">
      <w:pPr>
        <w:pStyle w:val="style179"/>
        <w:numPr>
          <w:ilvl w:val="0"/>
          <w:numId w:val="15"/>
        </w:numPr>
        <w:spacing w:lineRule="auto" w:line="240"/>
        <w:ind w:firstLineChars="0"/>
        <w:jc w:val="both"/>
        <w:rPr/>
      </w:pPr>
      <w:r>
        <w:rPr>
          <w:u w:val="single"/>
          <w:lang w:val="en-US"/>
        </w:rPr>
        <w:t>只是50.26元，被告为什么不依法规先行赔付？</w:t>
      </w:r>
      <w:r>
        <w:rPr>
          <w:lang w:val="en-US"/>
        </w:rPr>
        <w:t>有意违法(人行"非银支付管理办法")。</w:t>
      </w:r>
    </w:p>
    <w:p w14:paraId="2EF5B338">
      <w:pPr>
        <w:pStyle w:val="style179"/>
        <w:numPr>
          <w:ilvl w:val="0"/>
          <w:numId w:val="15"/>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u w:val="single"/>
          <w:vertAlign w:val="baseline"/>
          <w:em w:val="none"/>
          <w:lang w:val="en-US" w:eastAsia="zh-CN"/>
        </w:rPr>
        <w:t>单方面仅退款, 不尊重受损害方的利益</w:t>
      </w:r>
      <w:r>
        <w:rPr>
          <w:u w:val="single"/>
          <w:lang w:val="en-US"/>
        </w:rPr>
        <w:t>，事先不与原告协商一致, 事后不受原告认可</w:t>
      </w:r>
      <w:r>
        <w:rPr>
          <w:lang w:val="en-US"/>
        </w:rPr>
        <w:t>。</w:t>
      </w:r>
    </w:p>
    <w:p w14:paraId="AD833906">
      <w:pPr>
        <w:pStyle w:val="style179"/>
        <w:numPr>
          <w:ilvl w:val="0"/>
          <w:numId w:val="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适用</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"惩罚性损失赔偿"</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的必要、必须、公平</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和</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正义性原因是:</w:t>
      </w:r>
    </w:p>
    <w:p w14:paraId="2F7268E7">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假设,</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中国的法律和法治，只对"平民群众"是"严刑峻法"(参考"证据1"的"违约责任严罚")</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C93387F7">
      <w:pPr>
        <w:pStyle w:val="style0"/>
        <w:spacing w:lineRule="auto" w:line="240"/>
        <w:ind w:left="420" w:firstLine="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对"法人"，处于市场支配地位的"平台型法人"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，"腾讯系"嫡子公司之一，</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纵任宽放退款违约;</w:t>
      </w:r>
    </w:p>
    <w:p w14:paraId="2324290D">
      <w:pPr>
        <w:pStyle w:val="style0"/>
        <w:spacing w:lineRule="auto" w:line="240"/>
        <w:ind w:left="420" w:firstLine="0" w:firstLineChars="0"/>
        <w:jc w:val="both"/>
        <w:rPr/>
      </w:pPr>
      <w:r>
        <w:rPr>
          <w:rFonts w:ascii="Calibri" w:cs="Arial" w:eastAsia="宋体" w:hAnsi="Calibri" w:hint="default"/>
          <w:b w:val="false"/>
          <w:bCs w:val="false"/>
          <w:i w:val="false"/>
          <w:iCs w:val="false"/>
          <w:color w:val="000000"/>
          <w:kern w:val="2"/>
          <w:sz w:val="21"/>
          <w:szCs w:val="22"/>
          <w:highlight w:val="none"/>
          <w:u w:val="single" w:color="auto"/>
          <w:vertAlign w:val="baseline"/>
          <w:em w:val="none"/>
          <w:lang w:val="en-US" w:eastAsia="zh-CN"/>
        </w:rPr>
        <w:t>那么，不仅有悖于"公理"，也有悖于"法理"</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967F814D">
      <w:pPr>
        <w:pStyle w:val="style0"/>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本案可参考,</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已立法并施行的"道路交通规则"对"机动车驾驶员礼让行人"的立法、行政原则。</w:t>
      </w:r>
    </w:p>
    <w:p w14:paraId="4286ED84">
      <w:pPr>
        <w:pStyle w:val="style179"/>
        <w:numPr>
          <w:ilvl w:val="0"/>
          <w:numId w:val="1"/>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平台方有意违约违法犯罪的侵占权利行为,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惩罚性赔偿</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参照其"法定代表人"实际收入水平</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C4866036">
      <w:pPr>
        <w:pStyle w:val="style0"/>
        <w:spacing w:lineRule="auto" w:line="240"/>
        <w:ind w:firstLine="42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为防止平台型法人"滥用市场与社会支配地位</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操纵经济、法治和社会秩序"，</w:t>
      </w:r>
    </w:p>
    <w:p w14:paraId="E26B4110">
      <w:pPr>
        <w:pStyle w:val="style0"/>
        <w:spacing w:lineRule="auto" w:line="240"/>
        <w:ind w:firstLine="420"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为督促平台型法人,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防止此类案件发生；使其主动联系利益受损害方，第一时间赔偿；</w:t>
      </w:r>
    </w:p>
    <w:p w14:paraId="664B2DEA">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为受损害方,</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争取合理赔偿，保护民众的合法权利，特别是受司法救助群体。</w:t>
      </w:r>
    </w:p>
    <w:p w14:paraId="F20779DD">
      <w:pPr>
        <w:pStyle w:val="style179"/>
        <w:numPr>
          <w:ilvl w:val="0"/>
          <w:numId w:val="1"/>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起诉期+审理期用时估计: 60天(起诉期用时20天，审理期大概用时40天)。</w:t>
      </w:r>
    </w:p>
    <w:p w14:paraId="34E83BF5">
      <w:pPr>
        <w:pStyle w:val="style179"/>
        <w:numPr>
          <w:ilvl w:val="0"/>
          <w:numId w:val="1"/>
        </w:numPr>
        <w:spacing w:lineRule="auto" w:line="240"/>
        <w:ind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赔偿参考的标准:</w:t>
      </w:r>
    </w:p>
    <w:p w14:paraId="4FCCA303">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首先</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声明法院可以要求被告方提供其法定代表人的年收入报告作为惩罚性赔偿参考基准。</w:t>
      </w:r>
    </w:p>
    <w:p w14:paraId="72D092AA">
      <w:pPr>
        <w:pStyle w:val="style179"/>
        <w:numPr>
          <w:ilvl w:val="0"/>
          <w:numId w:val="0"/>
        </w:numPr>
        <w:spacing w:lineRule="auto" w:line="240"/>
        <w:ind w:left="42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其次，以下的"被告法定代表人" 和 "原告"的收入是模型估计值，对本案有足够参考价值:</w:t>
      </w:r>
    </w:p>
    <w:p w14:paraId="36B28E28">
      <w:pPr>
        <w:pStyle w:val="style179"/>
        <w:numPr>
          <w:ilvl w:val="0"/>
          <w:numId w:val="13"/>
        </w:numPr>
        <w:spacing w:lineRule="auto" w:line="240"/>
        <w:ind w:firstLineChars="0"/>
        <w:jc w:val="both"/>
        <w:rPr>
          <w:b w:val="false"/>
          <w:bCs w:val="false"/>
          <w:lang w:val="en-US"/>
        </w:rPr>
      </w:pPr>
      <w:r>
        <w:rPr>
          <w:b w:val="false"/>
          <w:bCs w:val="false"/>
          <w:lang w:val="en-US"/>
        </w:rPr>
        <w:t xml:space="preserve">"被告法定代表人郑浩剑"的年收入估计在1亿元左右(含股权,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Deepseek大模型估计</w:t>
      </w:r>
      <w:r>
        <w:rPr>
          <w:b w:val="false"/>
          <w:bCs w:val="false"/>
          <w:lang w:val="en-US"/>
        </w:rPr>
        <w:t>);</w:t>
      </w:r>
    </w:p>
    <w:p w14:paraId="FDE5ECD2">
      <w:pPr>
        <w:pStyle w:val="style179"/>
        <w:numPr>
          <w:ilvl w:val="0"/>
          <w:numId w:val="0"/>
        </w:numPr>
        <w:spacing w:lineRule="auto" w:line="240"/>
        <w:ind w:left="840" w:firstLine="0" w:firstLineChars="0"/>
        <w:jc w:val="both"/>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换算成:</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833.33万元/月。即日薪:</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27.78万元/天。</w:t>
      </w:r>
    </w:p>
    <w:p w14:paraId="E498FCD2">
      <w:pPr>
        <w:pStyle w:val="style179"/>
        <w:numPr>
          <w:ilvl w:val="0"/>
          <w:numId w:val="0"/>
        </w:numPr>
        <w:spacing w:lineRule="auto" w:line="240"/>
        <w:ind w:left="840" w:firstLine="0" w:firstLineChars="0"/>
        <w:jc w:val="both"/>
        <w:rPr>
          <w:b w:val="false"/>
          <w:bCs w:val="false"/>
          <w:lang w:val="en-US"/>
        </w:rPr>
      </w:pPr>
      <w:r>
        <w:rPr>
          <w:b w:val="false"/>
          <w:bCs w:val="false"/>
          <w:lang w:val="en-US"/>
        </w:rPr>
        <w:t>则总赔偿金额为 16668502.60元(502.60+ 20×27.78×10000+ 40×27.78×10000)</w:t>
      </w:r>
    </w:p>
    <w:p w14:paraId="77D868FD">
      <w:pPr>
        <w:pStyle w:val="style179"/>
        <w:numPr>
          <w:ilvl w:val="0"/>
          <w:numId w:val="13"/>
        </w:numPr>
        <w:spacing w:lineRule="auto" w:line="240"/>
        <w:ind w:firstLineChars="0"/>
        <w:jc w:val="both"/>
        <w:rPr>
          <w:b w:val="false"/>
          <w:bCs w:val="false"/>
          <w:lang w:val="en-US"/>
        </w:rPr>
      </w:pPr>
      <w:r>
        <w:rPr>
          <w:b w:val="false"/>
          <w:bCs w:val="false"/>
          <w:lang w:val="en-US"/>
        </w:rPr>
        <w:t>原告在2018年收入大约120万元，只按15%年均增长率估计现在: 319.20万/年;</w:t>
      </w:r>
    </w:p>
    <w:p w14:paraId="857ACCC3">
      <w:pPr>
        <w:pStyle w:val="style179"/>
        <w:numPr>
          <w:ilvl w:val="0"/>
          <w:numId w:val="0"/>
        </w:numPr>
        <w:spacing w:lineRule="auto" w:line="240"/>
        <w:ind w:left="840" w:firstLine="0" w:firstLineChars="0"/>
        <w:jc w:val="both"/>
        <w:rPr>
          <w:b w:val="false"/>
          <w:bCs w:val="false"/>
          <w:lang w:val="en-US"/>
        </w:rPr>
      </w:pPr>
      <w:r>
        <w:rPr>
          <w:b w:val="false"/>
          <w:bCs w:val="false"/>
          <w:lang w:val="en-US"/>
        </w:rPr>
        <w:t>换算成: 26.60万元/月。即日薪: 0.89万元/天。</w:t>
      </w:r>
    </w:p>
    <w:p w14:paraId="3C8CE778">
      <w:pPr>
        <w:pStyle w:val="style179"/>
        <w:numPr>
          <w:ilvl w:val="0"/>
          <w:numId w:val="0"/>
        </w:numPr>
        <w:spacing w:lineRule="auto" w:line="240"/>
        <w:ind w:left="840" w:firstLine="0" w:firstLineChars="0"/>
        <w:jc w:val="both"/>
        <w:rPr>
          <w:b w:val="false"/>
          <w:bCs w:val="false"/>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则总赔偿金额为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534502.60元(502.60+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20×0.89×10000+</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40×0.89×10000)</w:t>
      </w:r>
    </w:p>
    <w:p w14:paraId="5DE8699A">
      <w:pPr>
        <w:pStyle w:val="style0"/>
        <w:numPr>
          <w:ilvl w:val="0"/>
          <w:numId w:val="0"/>
        </w:numPr>
        <w:rPr>
          <w:b/>
          <w:bCs/>
          <w:lang w:val="en-US"/>
        </w:rPr>
      </w:pPr>
    </w:p>
    <w:p w14:paraId="7584BD3D">
      <w:pPr>
        <w:pStyle w:val="style0"/>
        <w:rPr>
          <w:b w:val="false"/>
          <w:bCs w:val="false"/>
          <w:lang w:val="en-US"/>
        </w:rPr>
      </w:pPr>
    </w:p>
    <w:p w14:paraId="F8AA8DEF">
      <w:pPr>
        <w:pStyle w:val="style0"/>
        <w:rPr>
          <w:lang w:val="en-US"/>
        </w:rPr>
      </w:pPr>
      <w:r>
        <w:rPr>
          <w:b/>
          <w:bCs/>
          <w:lang w:val="en-US"/>
        </w:rPr>
        <w:t>证据</w:t>
      </w:r>
      <w:r>
        <w:rPr>
          <w:lang w:val="en-US"/>
        </w:rPr>
        <w:t xml:space="preserve">: </w:t>
      </w:r>
    </w:p>
    <w:p w14:paraId="77C9E537">
      <w:pPr>
        <w:pStyle w:val="style179"/>
        <w:numPr>
          <w:ilvl w:val="0"/>
          <w:numId w:val="5"/>
        </w:numPr>
        <w:ind w:firstLineChars="0"/>
        <w:rPr>
          <w:lang w:val="en-US"/>
        </w:rPr>
      </w:pPr>
      <w:r>
        <w:rPr>
          <w:lang w:val="en-US"/>
        </w:rPr>
        <w:t>"违约责任严罚"可参考原告的真实案例：2019年前，原告的交通银行信用卡，</w:t>
      </w:r>
    </w:p>
    <w:p w14:paraId="BF74C08B">
      <w:pPr>
        <w:pStyle w:val="style0"/>
        <w:ind w:left="200" w:leftChars="0" w:firstLineChars="200"/>
        <w:rPr>
          <w:lang w:val="en-US"/>
        </w:rPr>
      </w:pPr>
      <w:r>
        <w:rPr>
          <w:lang w:val="en-US"/>
        </w:rPr>
        <w:t>只是超过一个星期未按时还款，还是忘记还(并非有意)数千元款，并愿意补还罚息；</w:t>
      </w:r>
    </w:p>
    <w:p w14:paraId="5C4D7442">
      <w:pPr>
        <w:pStyle w:val="style0"/>
        <w:ind w:left="200" w:leftChars="0" w:firstLineChars="200"/>
        <w:rPr>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尽管，原告向"交通银行信用卡中心申诉过，表明"不是故意，只是确实忘记</w:t>
      </w:r>
      <w:r>
        <w:rPr>
          <w:rFonts w:ascii="Calibri" w:cs="Arial" w:hAnsi="Calibri" w:hint="default"/>
          <w:b w:val="false"/>
          <w:bCs w:val="false"/>
          <w:i w:val="false"/>
          <w:iCs w:val="false"/>
          <w:color w:val="auto"/>
          <w:kern w:val="2"/>
          <w:sz w:val="21"/>
          <w:szCs w:val="22"/>
          <w:highlight w:val="none"/>
          <w:vertAlign w:val="baseline"/>
          <w:em w:val="none"/>
          <w:lang w:val="en-US" w:eastAsia="zh-CN"/>
        </w:rPr>
        <w:t>，并愿补还</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w:t>
      </w:r>
    </w:p>
    <w:p w14:paraId="81942248">
      <w:pPr>
        <w:pStyle w:val="style0"/>
        <w:ind w:left="200" w:leftChars="0" w:firstLineChars="200"/>
        <w:rPr>
          <w:lang w:val="en-US"/>
        </w:rPr>
      </w:pPr>
      <w:r>
        <w:rPr>
          <w:lang w:val="en-US"/>
        </w:rPr>
        <w:t>但是，交通银行，不仅停了原告的"信用卡"，而且原告罚息偿还，并记入征信记录5年。</w:t>
      </w:r>
    </w:p>
    <w:p w14:paraId="825DF57C">
      <w:pPr>
        <w:pStyle w:val="style179"/>
        <w:numPr>
          <w:ilvl w:val="0"/>
          <w:numId w:val="5"/>
        </w:numPr>
        <w:ind w:firstLineChars="0"/>
        <w:rPr>
          <w:lang w:val="en-US"/>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被告系平台型法人，被告更是全世界最大互联网公司之一"腾讯"的子公司。</w:t>
      </w:r>
    </w:p>
    <w:p w14:paraId="52451E68">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本案起因于平台方</w:t>
      </w:r>
      <w:r>
        <w:rPr>
          <w:rFonts w:ascii="Calibri" w:cs="Arial" w:hAnsi="Calibri" w:hint="default"/>
          <w:b w:val="false"/>
          <w:bCs w:val="false"/>
          <w:i w:val="false"/>
          <w:iCs w:val="false"/>
          <w:color w:val="auto"/>
          <w:kern w:val="2"/>
          <w:sz w:val="21"/>
          <w:szCs w:val="22"/>
          <w:highlight w:val="none"/>
          <w:vertAlign w:val="baseline"/>
          <w:em w:val="none"/>
          <w:lang w:val="en-US" w:eastAsia="zh-CN"/>
        </w:rPr>
        <w:t>支付违约违规过错责任；没有将原告的财产权益按时退还或先行赔付；</w:t>
      </w:r>
    </w:p>
    <w:p w14:paraId="179C3614">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被告平台方接诉部门确认收到原告的多方多次多日投诉索赔</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4C0C76EF">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被告平台方仍知情违法违规侵权扩大原告损失；而且是长达180天以上</w:t>
      </w:r>
      <w:r>
        <w:rPr>
          <w:rFonts w:ascii="Calibri" w:cs="Arial" w:hAnsi="Calibri" w:hint="default"/>
          <w:b w:val="false"/>
          <w:bCs w:val="false"/>
          <w:i w:val="false"/>
          <w:iCs w:val="false"/>
          <w:color w:val="auto"/>
          <w:kern w:val="2"/>
          <w:sz w:val="21"/>
          <w:szCs w:val="22"/>
          <w:highlight w:val="none"/>
          <w:vertAlign w:val="baseline"/>
          <w:em w:val="none"/>
          <w:lang w:val="en-US" w:eastAsia="zh-CN"/>
        </w:rPr>
        <w:t>；</w:t>
      </w:r>
    </w:p>
    <w:p w14:paraId="DAAF6A4C">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被告方在立案后仍故意"免除或减少平台方责任，排除利益受损害方的主要权利"。</w:t>
      </w:r>
    </w:p>
    <w:p w14:paraId="8BB726B5">
      <w:pPr>
        <w:pStyle w:val="style179"/>
        <w:numPr>
          <w:ilvl w:val="0"/>
          <w:numId w:val="5"/>
        </w:numPr>
        <w:spacing w:lineRule="auto" w:line="240"/>
        <w:ind w:firstLineChars="0"/>
        <w:jc w:val="both"/>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8月4日,</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被告指使"不相关部门"客服,通过电话"心理操纵"方式, 对"原告"商业情报攻击。</w:t>
      </w:r>
    </w:p>
    <w:p w14:paraId="F642F6A8">
      <w:pPr>
        <w:pStyle w:val="style179"/>
        <w:numPr>
          <w:ilvl w:val="0"/>
          <w:numId w:val="0"/>
        </w:numPr>
        <w:ind w:left="620" w:firstLine="0" w:firstLineChars="0"/>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意图操控原告误认为</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"本案退款交易"的支付指令错误，是因为原告行为造成。</w:t>
      </w:r>
    </w:p>
    <w:p w14:paraId="A1EE7D08">
      <w:pPr>
        <w:pStyle w:val="style179"/>
        <w:numPr>
          <w:ilvl w:val="0"/>
          <w:numId w:val="5"/>
        </w:numPr>
        <w:ind w:firstLineChars="0"/>
        <w:rPr>
          <w:lang w:val="en-US"/>
        </w:rPr>
      </w:pPr>
      <w:r>
        <w:rPr>
          <w:lang w:val="en-US"/>
        </w:rPr>
        <w:t>8月12日，被告单方面付款"50.26元"到原告的新微众数字钱包账号。</w:t>
      </w:r>
    </w:p>
    <w:p w14:paraId="2967D5A8">
      <w:pPr>
        <w:pStyle w:val="style179"/>
        <w:numPr>
          <w:ilvl w:val="0"/>
          <w:numId w:val="0"/>
        </w:numPr>
        <w:ind w:left="620" w:firstLine="0" w:firstLineChars="0"/>
        <w:rPr>
          <w:lang w:val="en-US"/>
        </w:rPr>
      </w:pPr>
      <w:r>
        <w:rPr>
          <w:lang w:val="en-US"/>
        </w:rPr>
        <w:t>距离1月19日(淘宝平台通过"被告"发起退款支付指令)，已经过了200多天。</w:t>
      </w:r>
    </w:p>
    <w:p w14:paraId="93C33849">
      <w:pPr>
        <w:pStyle w:val="style179"/>
        <w:numPr>
          <w:ilvl w:val="0"/>
          <w:numId w:val="5"/>
        </w:numPr>
        <w:ind w:firstLineChars="0"/>
        <w:rPr/>
      </w:pP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法院的</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"案件管理平台"</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 xml:space="preserve"> </w:t>
      </w:r>
      <w:r>
        <w:rPr>
          <w:rFonts w:ascii="Calibri" w:cs="Arial" w:eastAsia="宋体" w:hAnsi="Calibri" w:hint="default"/>
          <w:b w:val="false"/>
          <w:bCs w:val="false"/>
          <w:i w:val="false"/>
          <w:iCs w:val="false"/>
          <w:color w:val="auto"/>
          <w:kern w:val="2"/>
          <w:sz w:val="21"/>
          <w:szCs w:val="22"/>
          <w:highlight w:val="none"/>
          <w:vertAlign w:val="baseline"/>
          <w:em w:val="none"/>
          <w:lang w:val="en-US" w:eastAsia="zh-CN"/>
        </w:rPr>
        <w:t>有完整的"立案+审理"记录作为证据。</w:t>
      </w:r>
    </w:p>
    <w:p w14:paraId="EC457481">
      <w:pPr>
        <w:pStyle w:val="style179"/>
        <w:numPr>
          <w:ilvl w:val="0"/>
          <w:numId w:val="5"/>
        </w:numPr>
        <w:ind w:firstLineChars="0"/>
        <w:rPr/>
      </w:pPr>
      <w:r>
        <w:rPr>
          <w:lang w:val="en-US"/>
        </w:rPr>
        <w:t>全国首家互联网法院"杭州互联网法院"的统计数据得出，网审案平均用时39.2天；</w:t>
      </w:r>
    </w:p>
    <w:p w14:paraId="ED9133B5">
      <w:pPr>
        <w:pStyle w:val="style0"/>
        <w:rPr/>
      </w:pPr>
    </w:p>
    <w:p w14:paraId="E2C70895">
      <w:pPr>
        <w:pStyle w:val="style0"/>
        <w:jc w:val="left"/>
        <w:rPr>
          <w:rFonts w:ascii="Calibri" w:cs="Calibri" w:hAnsi="Calibri"/>
          <w:b w:val="false"/>
          <w:bCs w:val="false"/>
          <w:sz w:val="21"/>
          <w:szCs w:val="21"/>
          <w:lang w:val="en-US"/>
        </w:rPr>
      </w:pPr>
      <w:r>
        <w:rPr>
          <w:rFonts w:ascii="Calibri" w:cs="Calibri" w:hAnsi="Calibri"/>
          <w:b w:val="false"/>
          <w:bCs w:val="false"/>
          <w:sz w:val="21"/>
          <w:szCs w:val="21"/>
          <w:lang w:val="en-US"/>
        </w:rPr>
        <w:t>此致</w:t>
      </w:r>
    </w:p>
    <w:p w14:paraId="82015D7F">
      <w:pPr>
        <w:pStyle w:val="style0"/>
        <w:ind w:left="200" w:leftChars="0"/>
        <w:jc w:val="left"/>
        <w:rPr>
          <w:rFonts w:ascii="Calibri" w:cs="Calibri" w:hAnsi="Calibri"/>
          <w:b w:val="false"/>
          <w:bCs w:val="false"/>
          <w:sz w:val="21"/>
          <w:szCs w:val="21"/>
          <w:lang w:val="en-US"/>
        </w:rPr>
      </w:pPr>
      <w:r>
        <w:rPr>
          <w:rFonts w:ascii="Calibri" w:cs="Calibri" w:hAnsi="Calibri"/>
          <w:b w:val="false"/>
          <w:bCs w:val="false"/>
          <w:sz w:val="21"/>
          <w:szCs w:val="21"/>
          <w:lang w:val="en-US"/>
        </w:rPr>
        <w:t>深圳前海合作区人民法院</w:t>
      </w:r>
      <w:r>
        <w:rPr/>
        <w:drawing>
          <wp:anchor distT="0" distB="0" distL="0" distR="0" simplePos="false" relativeHeight="3" behindDoc="false" locked="false" layoutInCell="true" allowOverlap="true">
            <wp:simplePos x="0" y="0"/>
            <wp:positionH relativeFrom="page">
              <wp:posOffset>6361571</wp:posOffset>
            </wp:positionH>
            <wp:positionV relativeFrom="page">
              <wp:posOffset>2512449</wp:posOffset>
            </wp:positionV>
            <wp:extent cx="408899" cy="480921"/>
            <wp:effectExtent l="0" t="0" r="0" b="0"/>
            <wp:wrapNone/>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20400000">
                      <a:off x="0" y="0"/>
                      <a:ext cx="408899" cy="480921"/>
                    </a:xfrm>
                    <a:prstGeom prst="rect"/>
                  </pic:spPr>
                </pic:pic>
              </a:graphicData>
            </a:graphic>
          </wp:anchor>
        </w:drawing>
      </w:r>
    </w:p>
    <w:p w14:paraId="1CF25E60">
      <w:pPr>
        <w:pStyle w:val="style0"/>
        <w:ind w:left="200" w:leftChars="0"/>
        <w:jc w:val="left"/>
        <w:rPr>
          <w:rFonts w:ascii="Calibri" w:cs="Calibri" w:eastAsia="Calibri" w:hAnsi="Calibri"/>
          <w:b w:val="false"/>
          <w:bCs w:val="false"/>
          <w:sz w:val="21"/>
          <w:szCs w:val="21"/>
        </w:rPr>
      </w:pPr>
      <w:r>
        <w:rPr/>
        <w:drawing>
          <wp:anchor distT="0" distB="0" distL="0" distR="0" simplePos="false" relativeHeight="2" behindDoc="false" locked="false" layoutInCell="true" allowOverlap="true">
            <wp:simplePos x="0" y="0"/>
            <wp:positionH relativeFrom="page">
              <wp:posOffset>6058400</wp:posOffset>
            </wp:positionH>
            <wp:positionV relativeFrom="page">
              <wp:posOffset>2744496</wp:posOffset>
            </wp:positionV>
            <wp:extent cx="379948" cy="301821"/>
            <wp:effectExtent l="0" t="0" r="0" b="0"/>
            <wp:wrapNone/>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379948" cy="301821"/>
                    </a:xfrm>
                    <a:prstGeom prst="rect"/>
                  </pic:spPr>
                </pic:pic>
              </a:graphicData>
            </a:graphic>
          </wp:anchor>
        </w:drawing>
      </w:r>
    </w:p>
    <w:p w14:paraId="1F7823AB">
      <w:pPr>
        <w:pStyle w:val="style0"/>
        <w:jc w:val="right"/>
        <w:rPr>
          <w:rFonts w:ascii="Calibri" w:cs="Calibri" w:eastAsia="Calibri" w:hAnsi="Calibri"/>
          <w:b w:val="false"/>
          <w:bCs w:val="false"/>
          <w:sz w:val="21"/>
          <w:szCs w:val="21"/>
          <w:lang w:val="en-US"/>
        </w:rPr>
      </w:pPr>
      <w:r>
        <w:rPr>
          <w:rFonts w:ascii="Calibri" w:cs="Calibri" w:eastAsia="Calibri" w:hAnsi="Calibri"/>
          <w:b w:val="false"/>
          <w:bCs w:val="false"/>
          <w:sz w:val="21"/>
          <w:szCs w:val="21"/>
          <w:lang w:val="en-US"/>
        </w:rPr>
        <w:t>申</w:t>
      </w:r>
      <w:r>
        <w:rPr>
          <w:rFonts w:ascii="Calibri" w:cs="Calibri" w:hAnsi="Calibri"/>
          <w:b w:val="false"/>
          <w:bCs w:val="false"/>
          <w:sz w:val="21"/>
          <w:szCs w:val="21"/>
          <w:lang w:val="en-US"/>
        </w:rPr>
        <w:t>请人: 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w:t>
      </w:r>
      <w:r>
        <w:rPr>
          <w:rFonts w:ascii="Calibri" w:cs="Calibri" w:eastAsia="宋体" w:hAnsi="Calibri" w:hint="default"/>
          <w:b w:val="false"/>
          <w:bCs w:val="false"/>
          <w:i w:val="false"/>
          <w:iCs w:val="false"/>
          <w:color w:val="auto"/>
          <w:kern w:val="2"/>
          <w:sz w:val="21"/>
          <w:szCs w:val="21"/>
          <w:highlight w:val="none"/>
          <w:vertAlign w:val="baseline"/>
          <w:em w:val="none"/>
          <w:lang w:val="en-US" w:eastAsia="zh-CN"/>
        </w:rPr>
        <w:t>____</w:t>
      </w:r>
      <w:r>
        <w:rPr>
          <w:rFonts w:ascii="Calibri" w:cs="Calibri" w:eastAsia="Calibri" w:hAnsi="Calibri"/>
          <w:b w:val="false"/>
          <w:bCs w:val="false"/>
          <w:sz w:val="21"/>
          <w:szCs w:val="21"/>
          <w:lang w:val="en-US"/>
        </w:rPr>
        <w:t xml:space="preserve">    </w:t>
      </w:r>
    </w:p>
    <w:p w14:paraId="AAC1261D">
      <w:pPr>
        <w:pStyle w:val="style0"/>
        <w:ind w:left="200"/>
        <w:jc w:val="right"/>
        <w:rPr>
          <w:rFonts w:ascii="Calibri" w:cs="Calibri" w:eastAsia="Calibri" w:hAnsi="Calibri"/>
          <w:b w:val="false"/>
          <w:bCs w:val="false"/>
          <w:sz w:val="21"/>
          <w:szCs w:val="21"/>
        </w:rPr>
      </w:pPr>
      <w:r>
        <w:rPr>
          <w:rFonts w:ascii="Calibri" w:cs="Calibri" w:eastAsia="Calibri" w:hAnsi="Calibri"/>
          <w:b w:val="false"/>
          <w:bCs w:val="false"/>
          <w:sz w:val="21"/>
          <w:szCs w:val="21"/>
          <w:lang w:val="en-US"/>
        </w:rPr>
        <w:t>2025年8月14日</w:t>
      </w:r>
    </w:p>
    <w:sectPr>
      <w:pgSz w:w="12240" w:h="20160" w:orient="portrait"/>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10002FF" w:usb1="4000ACFF" w:usb2="00000009" w:usb3="00000000" w:csb0="0000019F" w:csb1="00000000"/>
  </w:font>
  <w:font w:name="宋体">
    <w:altName w:val="SimSun"/>
    <w:panose1 w:val="02010600030000010101"/>
    <w:charset w:val="86"/>
    <w:family w:val="auto"/>
    <w:pitch w:val="variable"/>
    <w:sig w:usb0="00000003" w:usb1="288F0000" w:usb2="00000016" w:usb3="00000000" w:csb0="00040001" w:csb1="00000000"/>
  </w:font>
  <w:font w:name="Arial">
    <w:altName w:val="Arial"/>
    <w:panose1 w:val="020b0604020000020204"/>
    <w:charset w:val="00"/>
    <w:family w:val="swiss"/>
    <w:pitch w:val="variable"/>
    <w:sig w:usb0="E0002AFF" w:usb1="C0007843" w:usb2="00000009" w:usb3="00000000" w:csb0="000001FF" w:csb1="00000000"/>
  </w:font>
  <w:font w:name="Times New Roman">
    <w:altName w:val="Times New Roman"/>
    <w:panose1 w:val="02020603050000020304"/>
    <w:charset w:val="00"/>
    <w:family w:val="roman"/>
    <w:pitch w:val="variable"/>
    <w:sig w:usb0="E0002AFF" w:usb1="C0007841" w:usb2="00000009" w:usb3="00000000" w:csb0="000001FF" w:csb1="00000000"/>
  </w:font>
  <w:font w:name="Cambria">
    <w:altName w:val="Cambria"/>
    <w:panose1 w:val="02040503050000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2A827F1"/>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000001"/>
    <w:multiLevelType w:val="hybridMultilevel"/>
    <w:tmpl w:val="5985408B"/>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nsid w:val="00000002"/>
    <w:multiLevelType w:val="hybridMultilevel"/>
    <w:tmpl w:val="DF6D0EAE"/>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0000003"/>
    <w:multiLevelType w:val="hybridMultilevel"/>
    <w:tmpl w:val="6065B14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0000004"/>
    <w:multiLevelType w:val="hybridMultilevel"/>
    <w:tmpl w:val="E0797DBF"/>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0000005"/>
    <w:multiLevelType w:val="hybridMultilevel"/>
    <w:tmpl w:val="F331A6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0000006"/>
    <w:multiLevelType w:val="hybridMultilevel"/>
    <w:tmpl w:val="18F004D7"/>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0000007"/>
    <w:multiLevelType w:val="hybridMultilevel"/>
    <w:tmpl w:val="C7F1422A"/>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0000008"/>
    <w:multiLevelType w:val="hybridMultilevel"/>
    <w:tmpl w:val="1DD19947"/>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00000009"/>
    <w:multiLevelType w:val="hybridMultilevel"/>
    <w:tmpl w:val="52D77A02"/>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0000000A"/>
    <w:multiLevelType w:val="hybridMultilevel"/>
    <w:tmpl w:val="0F06FEFF"/>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0000000B"/>
    <w:multiLevelType w:val="hybridMultilevel"/>
    <w:tmpl w:val="5D952FBA"/>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0000000C"/>
    <w:multiLevelType w:val="hybridMultilevel"/>
    <w:tmpl w:val="165A4052"/>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0000000D"/>
    <w:multiLevelType w:val="hybridMultilevel"/>
    <w:tmpl w:val="C771F604"/>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0000000E"/>
    <w:multiLevelType w:val="hybridMultilevel"/>
    <w:tmpl w:val="EE1D0E94"/>
    <w:lvl w:ilvl="0" w:tplc="0409000F">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3"/>
  </w:num>
  <w:num w:numId="3">
    <w:abstractNumId w:val="0"/>
  </w:num>
  <w:num w:numId="4">
    <w:abstractNumId w:val="1"/>
  </w:num>
  <w:num w:numId="5">
    <w:abstractNumId w:val="1"/>
  </w:num>
  <w:num w:numId="6">
    <w:abstractNumId w:val="2"/>
  </w:num>
  <w:num w:numId="7">
    <w:abstractNumId w:val="3"/>
  </w:num>
  <w:num w:numId="8">
    <w:abstractNumId w:val="4"/>
  </w:num>
  <w:num w:numId="9">
    <w:abstractNumId w:val="4"/>
  </w:num>
  <w:num w:numId="10">
    <w:abstractNumId w:val="5"/>
  </w:num>
  <w:num w:numId="11">
    <w:abstractNumId w:val="6"/>
  </w:num>
  <w:num w:numId="12">
    <w:abstractNumId w:val="7"/>
  </w:num>
  <w:num w:numId="13">
    <w:abstractNumId w:val="7"/>
  </w:num>
  <w:num w:numId="14">
    <w:abstractNumId w:val="8"/>
  </w:num>
  <w:num w:numId="15">
    <w:abstractNumId w:val="8"/>
  </w:num>
  <w:num w:numId="16">
    <w:abstractNumId w:val="9"/>
  </w:num>
  <w:num w:numId="17">
    <w:abstractNumId w:val="9"/>
  </w:num>
  <w:num w:numId="18">
    <w:abstractNumId w:val="10"/>
  </w:num>
  <w:num w:numId="19">
    <w:abstractNumId w:val="10"/>
  </w:num>
  <w:num w:numId="20">
    <w:abstractNumId w:val="11"/>
  </w:num>
  <w:num w:numId="21">
    <w:abstractNumId w:val="12"/>
  </w:num>
  <w:num w:numId="22">
    <w:abstractNumId w:val="13"/>
  </w:num>
  <w:num w:numId="23">
    <w:abstractNumId w:val="14"/>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bordersDoNotSurroundHeader/>
  <w:bordersDoNotSurroundFooter/>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bidi="ar-SA"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宋体" w:hAnsi="Calibri"/>
        <w:kern w:val="2"/>
        <w:sz w:val="21"/>
        <w:szCs w:val="22"/>
        <w:lang w:val="en-US" w:bidi="ar-SA" w:eastAsia="zh-CN"/>
      </w:rPr>
    </w:rPrDefault>
    <w:pPrDefault>
      <w:pPr>
        <w:widowControl w:val="false"/>
        <w:jc w:val="both"/>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firstLine="420" w:firstLineChars="200"/>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styles" Target="styles.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1708</Words>
  <Characters>1971</Characters>
  <Application>WPS Office</Application>
  <Paragraphs>62</Paragraphs>
  <CharactersWithSpaces>2026</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2025-08-04T03:12:03Z</dcterms:created>
  <dc:creator>2312DRA50C</dc:creator>
  <lastModifiedBy>2312DRA50C</lastModifiedBy>
  <dcterms:modified xsi:type="dcterms:W3CDTF">2025-08-14T09:10:39Z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44d3c5fcf3424bbc95287d9acccd25e2_21</vt:lpwstr>
  </property>
</Properties>
</file>