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DEDEEFF8">
      <w:pPr>
        <w:pStyle w:val="style0"/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  <w:lang w:val="en-US"/>
        </w:rPr>
        <w:t>更新</w:t>
      </w:r>
      <w:r>
        <w:rPr>
          <w:b/>
          <w:bCs/>
          <w:sz w:val="32"/>
          <w:szCs w:val="32"/>
        </w:rPr>
        <w:t>起诉请求</w:t>
      </w:r>
      <w:r>
        <w:rPr>
          <w:b/>
          <w:bCs/>
          <w:sz w:val="32"/>
          <w:szCs w:val="32"/>
          <w:lang w:val="en-US"/>
        </w:rPr>
        <w:t xml:space="preserve"> 申请</w:t>
      </w:r>
    </w:p>
    <w:p w14:paraId="73EA9561">
      <w:pPr>
        <w:pStyle w:val="style0"/>
        <w:jc w:val="center"/>
        <w:rPr>
          <w:b/>
          <w:bCs/>
          <w:sz w:val="32"/>
          <w:szCs w:val="32"/>
        </w:rPr>
      </w:pPr>
    </w:p>
    <w:p w14:paraId="85649E00">
      <w:pPr>
        <w:pStyle w:val="style0"/>
        <w:rPr/>
      </w:pPr>
      <w:r>
        <w:t>1.退一赔十网络服务合同支付款502.6(10×50.26)元人民币。</w:t>
      </w:r>
    </w:p>
    <w:p w14:paraId="26D159EE">
      <w:pPr>
        <w:pStyle w:val="style0"/>
        <w:rPr/>
      </w:pPr>
      <w:r>
        <w:t>2.被告支付"损失赔偿金(起诉期)"</w:t>
      </w:r>
      <w:r>
        <w:rPr>
          <w:lang w:val="en-US"/>
        </w:rPr>
        <w:t xml:space="preserve"> ? </w:t>
      </w:r>
      <w:r>
        <w:t>(</w:t>
      </w:r>
      <w:r>
        <w:rPr>
          <w:lang w:val="en-US"/>
        </w:rPr>
        <w:t>?</w:t>
      </w:r>
      <w:r>
        <w:t>）元人民币。</w:t>
      </w:r>
    </w:p>
    <w:p w14:paraId="DB88B712">
      <w:pPr>
        <w:pStyle w:val="style0"/>
        <w:rPr/>
      </w:pPr>
      <w:r>
        <w:t xml:space="preserve">3.被告支付"损失赔偿金(审理期)" </w:t>
      </w:r>
      <w:r>
        <w:rPr>
          <w:lang w:val="en-US"/>
        </w:rPr>
        <w:t>？</w:t>
      </w:r>
      <w:r>
        <w:t>(</w:t>
      </w:r>
      <w:r>
        <w:rPr>
          <w:lang w:val="en-US"/>
        </w:rPr>
        <w:t>?</w:t>
      </w:r>
      <w:r>
        <w:t>)元人民币</w:t>
      </w:r>
      <w:r>
        <w:rPr>
          <w:lang w:val="en-US"/>
        </w:rPr>
        <w:t>。</w:t>
      </w:r>
    </w:p>
    <w:p w14:paraId="1D651B81">
      <w:pPr>
        <w:pStyle w:val="style0"/>
        <w:rPr/>
      </w:pPr>
      <w:r>
        <w:t>4.被告承担因本案造成的其它成本和费用；包括但不限于律师费、诉讼费、交通费等。</w:t>
      </w:r>
    </w:p>
    <w:p w14:paraId="24A63F58">
      <w:pPr>
        <w:pStyle w:val="style0"/>
        <w:rPr/>
      </w:pPr>
      <w:r>
        <w:t>5.原告保留已诉请之外的其他所有权利，在合法时间提起追诉。</w:t>
      </w:r>
    </w:p>
    <w:p w14:paraId="E35CF6B6">
      <w:pPr>
        <w:pStyle w:val="style0"/>
        <w:rPr/>
      </w:pPr>
    </w:p>
    <w:p w14:paraId="FE480D00">
      <w:pPr>
        <w:pStyle w:val="style0"/>
        <w:rPr>
          <w:b/>
          <w:bCs/>
          <w:sz w:val="28"/>
          <w:szCs w:val="28"/>
          <w:lang w:val="en-US"/>
        </w:rPr>
      </w:pPr>
      <w:r>
        <w:rPr>
          <w:lang w:val="en-US"/>
        </w:rPr>
        <w:t>即本案的 "</w:t>
      </w:r>
      <w:r>
        <w:rPr>
          <w:b/>
          <w:bCs/>
          <w:lang w:val="en-US"/>
        </w:rPr>
        <w:t>标的额</w:t>
      </w:r>
      <w:r>
        <w:rPr>
          <w:lang w:val="en-US"/>
        </w:rPr>
        <w:t>" 应当按实际判决日更新成 ？</w:t>
      </w:r>
      <w:r>
        <w:rPr>
          <w:b/>
          <w:bCs/>
          <w:lang w:val="en-US"/>
        </w:rPr>
        <w:t>元人民币</w:t>
      </w:r>
      <w:r>
        <w:rPr>
          <w:lang w:val="en-US"/>
        </w:rPr>
        <w:t>(502.60+？元)。</w:t>
      </w:r>
    </w:p>
    <w:p w14:paraId="44715DE9">
      <w:pPr>
        <w:pStyle w:val="style0"/>
        <w:rPr>
          <w:b/>
          <w:bCs/>
          <w:sz w:val="21"/>
          <w:szCs w:val="21"/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本人提议，可参照淘特的法定代表人"郑帅"的年实际收入进行对标，以示惩罚性赔偿损失。</w:t>
      </w:r>
    </w:p>
    <w:p w14:paraId="B467F73E">
      <w:pPr>
        <w:pStyle w:val="style0"/>
        <w:rPr/>
      </w:pPr>
      <w:r>
        <w:rPr>
          <w:b/>
          <w:bCs/>
          <w:sz w:val="21"/>
          <w:szCs w:val="21"/>
          <w:lang w:val="en-US"/>
        </w:rPr>
        <w:t>事实、理由 和 证据</w:t>
      </w:r>
      <w:r>
        <w:rPr>
          <w:b/>
          <w:bCs/>
          <w:sz w:val="28"/>
          <w:szCs w:val="28"/>
          <w:lang w:val="en-US"/>
        </w:rPr>
        <w:t>:</w:t>
      </w:r>
    </w:p>
    <w:p w14:paraId="7BA469E4">
      <w:pPr>
        <w:pStyle w:val="style179"/>
        <w:numPr>
          <w:ilvl w:val="0"/>
          <w:numId w:val="2"/>
        </w:numPr>
        <w:ind w:firstLineChars="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6月20日</w:t>
      </w:r>
      <w:r>
        <w:rPr>
          <w:lang w:val="en-US"/>
        </w:rPr>
        <w:t>第一次提交申请; 本案的判决日，已经严重超过本人预期。</w:t>
      </w:r>
    </w:p>
    <w:p w14:paraId="6DFFD8A6">
      <w:pPr>
        <w:pStyle w:val="style0"/>
        <w:rPr>
          <w:lang w:val="en-US"/>
        </w:rPr>
      </w:pPr>
      <w:r>
        <w:rPr>
          <w:lang w:val="en-US"/>
        </w:rPr>
        <w:t xml:space="preserve">    本人尊重法院的日程安排，请法官按照实际的判决执行日期更正。</w:t>
      </w:r>
    </w:p>
    <w:p w14:paraId="34D5E66D">
      <w:pPr>
        <w:pStyle w:val="style179"/>
        <w:numPr>
          <w:ilvl w:val="0"/>
          <w:numId w:val="2"/>
        </w:numPr>
        <w:spacing w:lineRule="auto" w:line="240"/>
        <w:ind w:firstLineChars="0"/>
        <w:jc w:val="both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惩罚性赔偿损失的原因是:</w:t>
      </w:r>
    </w:p>
    <w:p w14:paraId="FF805FFA">
      <w:pPr>
        <w:spacing w:lineRule="auto" w:line="240"/>
        <w:ind w:left="420" w:firstLine="0" w:firstLineChars="0"/>
        <w:jc w:val="both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假设，中国的法律和法治，只对"平民群众"是"严刑峻法"(参照信用卡还款管理办法)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EEF608E8">
      <w:pPr>
        <w:spacing w:lineRule="auto" w:line="240"/>
        <w:ind w:left="420" w:firstLine="0" w:firstLineChars="0"/>
        <w:jc w:val="both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对"法人"，特别是"处于市场支配地位的平台型法人"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宽放纵任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4F9EC0F9">
      <w:pPr>
        <w:pStyle w:val="style0"/>
        <w:ind w:firstLineChars="20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则不仅有悖于"公理"，也有悖于"法理"。</w:t>
      </w:r>
    </w:p>
    <w:p w14:paraId="F7853645">
      <w:pPr>
        <w:pStyle w:val="style179"/>
        <w:numPr>
          <w:ilvl w:val="0"/>
          <w:numId w:val="2"/>
        </w:numPr>
        <w:ind w:firstLineChars="0"/>
        <w:rPr>
          <w:lang w:val="en-US"/>
        </w:rPr>
      </w:pPr>
      <w:r>
        <w:rPr>
          <w:lang w:val="en-US"/>
        </w:rPr>
        <w:t>提议参照 "侵权的平台方" 的 "法定代表人" 的实际收入水平进行惩罚性赔偿的原因：</w:t>
      </w:r>
    </w:p>
    <w:p w14:paraId="2F5F5AB9">
      <w:pPr>
        <w:pStyle w:val="style179"/>
        <w:numPr>
          <w:ilvl w:val="0"/>
          <w:numId w:val="6"/>
        </w:numPr>
        <w:ind w:firstLineChars="0"/>
        <w:rPr>
          <w:lang w:val="en-US"/>
        </w:rPr>
      </w:pPr>
      <w:r>
        <w:rPr>
          <w:lang w:val="en-US"/>
        </w:rPr>
        <w:t>为防止平台型法人"滥用市场支配地位、操纵经济和社会秩序"，</w:t>
      </w:r>
    </w:p>
    <w:p w14:paraId="B3DE3922">
      <w:pPr>
        <w:pStyle w:val="style179"/>
        <w:numPr>
          <w:ilvl w:val="0"/>
          <w:numId w:val="6"/>
        </w:numPr>
        <w:ind w:firstLineChars="0"/>
        <w:rPr>
          <w:lang w:val="en-US"/>
        </w:rPr>
      </w:pPr>
      <w:r>
        <w:rPr>
          <w:lang w:val="en-US"/>
        </w:rPr>
        <w:t>也为督促平台型法人防止此类案件发生；主动联系利益受损害方，第一时间赔偿；</w:t>
      </w:r>
    </w:p>
    <w:p w14:paraId="5523B7DF">
      <w:pPr>
        <w:pStyle w:val="style179"/>
        <w:numPr>
          <w:ilvl w:val="0"/>
          <w:numId w:val="6"/>
        </w:numPr>
        <w:ind w:firstLineChars="0"/>
        <w:rPr>
          <w:lang w:val="en-US"/>
        </w:rPr>
      </w:pPr>
      <w:r>
        <w:rPr>
          <w:lang w:val="en-US"/>
        </w:rPr>
        <w:t>当然也为受损害方，争取合理赔偿，保护民众的合法权利，特别是受司法救助的。</w:t>
      </w:r>
    </w:p>
    <w:p w14:paraId="915A763E">
      <w:pPr>
        <w:pStyle w:val="style179"/>
        <w:numPr>
          <w:ilvl w:val="0"/>
          <w:numId w:val="0"/>
        </w:numPr>
        <w:ind w:left="420" w:firstLine="0" w:firstLineChars="0"/>
        <w:rPr/>
      </w:pPr>
    </w:p>
    <w:p w14:paraId="F8AA8DEF">
      <w:pPr>
        <w:pStyle w:val="style0"/>
        <w:rPr>
          <w:lang w:val="en-US"/>
        </w:rPr>
      </w:pPr>
      <w:r>
        <w:rPr>
          <w:b/>
          <w:bCs/>
          <w:lang w:val="en-US"/>
        </w:rPr>
        <w:t>证据</w:t>
      </w:r>
      <w:r>
        <w:rPr>
          <w:lang w:val="en-US"/>
        </w:rPr>
        <w:t xml:space="preserve">: </w:t>
      </w:r>
    </w:p>
    <w:p w14:paraId="85B6A6D4">
      <w:pPr>
        <w:pStyle w:val="style179"/>
        <w:numPr>
          <w:ilvl w:val="0"/>
          <w:numId w:val="4"/>
        </w:numPr>
        <w:ind w:firstLineChars="0"/>
        <w:rPr>
          <w:lang w:val="en-US"/>
        </w:rPr>
      </w:pPr>
      <w:r>
        <w:rPr>
          <w:lang w:val="en-US"/>
        </w:rPr>
        <w:t>杭州互联网法院的 "案件管理平台" 有完整的"立案+审理"记录作为证据。</w:t>
      </w:r>
    </w:p>
    <w:p w14:paraId="77C9E537">
      <w:pPr>
        <w:pStyle w:val="style179"/>
        <w:numPr>
          <w:ilvl w:val="0"/>
          <w:numId w:val="4"/>
        </w:numPr>
        <w:ind w:firstLineChars="0"/>
        <w:rPr>
          <w:lang w:val="en-US"/>
        </w:rPr>
      </w:pPr>
      <w:r>
        <w:rPr>
          <w:lang w:val="en-US"/>
        </w:rPr>
        <w:t>原告真实案例：2019年前，原告的交通银行信用卡，</w:t>
      </w:r>
    </w:p>
    <w:p w14:paraId="BF74C08B">
      <w:pPr>
        <w:pStyle w:val="style0"/>
        <w:ind w:left="200" w:leftChars="0" w:firstLineChars="200"/>
        <w:rPr>
          <w:lang w:val="en-US"/>
        </w:rPr>
      </w:pPr>
      <w:r>
        <w:rPr>
          <w:lang w:val="en-US"/>
        </w:rPr>
        <w:t>因为数千元款，超过一个星期未按时还款，而且还是忘记还，</w:t>
      </w:r>
    </w:p>
    <w:p w14:paraId="81942248">
      <w:pPr>
        <w:pStyle w:val="style0"/>
        <w:ind w:left="200" w:leftChars="0" w:firstLineChars="200"/>
        <w:rPr>
          <w:lang w:val="en-US"/>
        </w:rPr>
      </w:pPr>
      <w:r>
        <w:rPr>
          <w:lang w:val="en-US"/>
        </w:rPr>
        <w:t>交通银行不仅停了本人的"信用卡"，而且还罚息，并记入征信记录5年。</w:t>
      </w:r>
    </w:p>
    <w:p w14:paraId="25C6A1D0">
      <w:pPr>
        <w:pStyle w:val="style0"/>
        <w:ind w:left="200" w:leftChars="0" w:firstLineChars="200"/>
        <w:rPr>
          <w:lang w:val="en-US"/>
        </w:rPr>
      </w:pPr>
      <w:r>
        <w:rPr>
          <w:lang w:val="en-US"/>
        </w:rPr>
        <w:t>即使本人向"交通银行信用卡中心申诉过，表明不是故意的，只是确实忘记了"。</w:t>
      </w:r>
    </w:p>
    <w:p w14:paraId="825DF57C">
      <w:pPr>
        <w:pStyle w:val="style179"/>
        <w:numPr>
          <w:ilvl w:val="0"/>
          <w:numId w:val="4"/>
        </w:numPr>
        <w:ind w:firstLineChars="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被告系平台型法人，</w:t>
      </w:r>
    </w:p>
    <w:p w14:paraId="52451E68">
      <w:pPr>
        <w:pStyle w:val="style179"/>
        <w:numPr>
          <w:ilvl w:val="0"/>
          <w:numId w:val="0"/>
        </w:numPr>
        <w:ind w:left="620" w:firstLine="0" w:firstLineChars="0"/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本案起因于平台方过错责任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；并没有将原告的财产权益按时退还；</w:t>
      </w:r>
    </w:p>
    <w:p w14:paraId="179C3614">
      <w:pPr>
        <w:pStyle w:val="style179"/>
        <w:numPr>
          <w:ilvl w:val="0"/>
          <w:numId w:val="0"/>
        </w:numPr>
        <w:ind w:left="620" w:firstLine="0" w:firstLineChars="0"/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被告平台方接诉部门确认收到原告的多方多次多日投诉索赔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4C0C76EF">
      <w:pPr>
        <w:pStyle w:val="style179"/>
        <w:numPr>
          <w:ilvl w:val="0"/>
          <w:numId w:val="0"/>
        </w:numPr>
        <w:ind w:left="620" w:firstLine="0" w:firstLineChars="0"/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被告平台方仍知情违法违规侵权扩大原告损失；而且是长达180天以上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；</w:t>
      </w:r>
    </w:p>
    <w:p w14:paraId="DAAF6A4C">
      <w:pPr>
        <w:pStyle w:val="style179"/>
        <w:numPr>
          <w:ilvl w:val="0"/>
          <w:numId w:val="0"/>
        </w:numPr>
        <w:ind w:left="620" w:firstLine="0" w:firstLineChars="0"/>
        <w:rPr>
          <w:lang w:val="en-US"/>
        </w:rPr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被告方在庭审期仍故意"免除或减少平台方责任，排除利益受损害方的主要权利"。</w:t>
      </w:r>
    </w:p>
    <w:p w14:paraId="B0B66D99">
      <w:pPr>
        <w:pStyle w:val="style0"/>
        <w:ind w:left="200" w:leftChars="0"/>
        <w:rPr>
          <w:lang w:val="en-US"/>
        </w:rPr>
      </w:pPr>
    </w:p>
    <w:p w14:paraId="6B495FB2">
      <w:pPr>
        <w:pStyle w:val="style0"/>
        <w:ind w:left="200" w:leftChars="0"/>
        <w:rPr>
          <w:lang w:val="en-US"/>
        </w:rPr>
      </w:pPr>
    </w:p>
    <w:p w14:paraId="19AD9F85">
      <w:pPr>
        <w:pStyle w:val="style0"/>
        <w:rPr/>
      </w:pPr>
    </w:p>
    <w:p w14:paraId="ED9133B5">
      <w:pPr>
        <w:pStyle w:val="style0"/>
        <w:rPr/>
      </w:pPr>
    </w:p>
    <w:p w14:paraId="E2C70895">
      <w:pPr>
        <w:pStyle w:val="style0"/>
        <w:jc w:val="left"/>
        <w:rPr>
          <w:rFonts w:ascii="Calibri" w:cs="Calibri" w:hAnsi="Calibri"/>
          <w:b w:val="false"/>
          <w:bCs w:val="false"/>
          <w:sz w:val="21"/>
          <w:szCs w:val="21"/>
          <w:lang w:val="en-US"/>
        </w:rPr>
      </w:pPr>
      <w:r>
        <w:rPr>
          <w:rFonts w:ascii="Calibri" w:cs="Calibri" w:hAnsi="Calibri"/>
          <w:b w:val="false"/>
          <w:bCs w:val="false"/>
          <w:sz w:val="21"/>
          <w:szCs w:val="21"/>
          <w:lang w:val="en-US"/>
        </w:rPr>
        <w:t>此致</w:t>
      </w:r>
    </w:p>
    <w:p w14:paraId="82015D7F">
      <w:pPr>
        <w:pStyle w:val="style0"/>
        <w:ind w:left="200" w:leftChars="0"/>
        <w:jc w:val="left"/>
        <w:rPr/>
      </w:pPr>
      <w:r>
        <w:rPr>
          <w:rFonts w:ascii="Calibri" w:cs="Calibri" w:hAnsi="Calibri"/>
          <w:b w:val="false"/>
          <w:bCs w:val="false"/>
          <w:sz w:val="21"/>
          <w:szCs w:val="21"/>
          <w:lang w:val="en-US"/>
        </w:rPr>
        <w:t>杭州互联网法院</w:t>
      </w:r>
    </w:p>
    <w:p w14:paraId="33BD2AF2">
      <w:pPr>
        <w:pStyle w:val="style0"/>
        <w:ind w:left="200" w:leftChars="0"/>
        <w:jc w:val="left"/>
        <w:rPr>
          <w:rFonts w:ascii="Calibri" w:cs="Calibri" w:hAnsi="Calibri"/>
          <w:b w:val="false"/>
          <w:bCs w:val="false"/>
          <w:sz w:val="21"/>
          <w:szCs w:val="21"/>
          <w:lang w:val="en-US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6371818</wp:posOffset>
            </wp:positionH>
            <wp:positionV relativeFrom="page">
              <wp:posOffset>9287762</wp:posOffset>
            </wp:positionV>
            <wp:extent cx="280616" cy="460478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400000">
                      <a:off x="0" y="0"/>
                      <a:ext cx="280616" cy="460478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1CF25E60">
      <w:pPr>
        <w:pStyle w:val="style0"/>
        <w:ind w:left="200" w:leftChars="0"/>
        <w:jc w:val="left"/>
        <w:rPr>
          <w:rFonts w:ascii="Calibri" w:cs="Calibri" w:eastAsia="Calibri" w:hAnsi="Calibri"/>
          <w:b w:val="false"/>
          <w:bCs w:val="false"/>
          <w:sz w:val="21"/>
          <w:szCs w:val="21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6041015</wp:posOffset>
            </wp:positionH>
            <wp:positionV relativeFrom="page">
              <wp:posOffset>9491023</wp:posOffset>
            </wp:positionV>
            <wp:extent cx="379948" cy="301822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9948" cy="301822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1F7823AB">
      <w:pPr>
        <w:pStyle w:val="style0"/>
        <w:jc w:val="right"/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</w:pPr>
      <w:r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  <w:t>申</w:t>
      </w:r>
      <w:r>
        <w:rPr>
          <w:rFonts w:ascii="Calibri" w:cs="Calibri" w:hAnsi="Calibri"/>
          <w:b w:val="false"/>
          <w:bCs w:val="false"/>
          <w:sz w:val="21"/>
          <w:szCs w:val="21"/>
          <w:lang w:val="en-US"/>
        </w:rPr>
        <w:t>请人: __</w:t>
      </w:r>
      <w:r>
        <w:rPr>
          <w:rFonts w:ascii="Calibri" w:cs="Calibri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eastAsia="zh-CN"/>
        </w:rPr>
        <w:t>__</w:t>
      </w:r>
      <w:r>
        <w:rPr>
          <w:rFonts w:ascii="Calibri" w:cs="Calibri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eastAsia="zh-CN"/>
        </w:rPr>
        <w:t>__</w:t>
      </w:r>
      <w:r>
        <w:rPr>
          <w:rFonts w:ascii="Calibri" w:cs="Calibri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eastAsia="zh-CN"/>
        </w:rPr>
        <w:t>__</w:t>
      </w:r>
      <w:r>
        <w:rPr>
          <w:rFonts w:ascii="Calibri" w:cs="Calibri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eastAsia="zh-CN"/>
        </w:rPr>
        <w:t>__</w:t>
      </w:r>
      <w:r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  <w:t xml:space="preserve">    </w:t>
      </w:r>
    </w:p>
    <w:p w14:paraId="AAC1261D">
      <w:pPr>
        <w:pStyle w:val="style0"/>
        <w:ind w:left="200"/>
        <w:jc w:val="right"/>
        <w:rPr>
          <w:rFonts w:ascii="Calibri" w:cs="Calibri" w:eastAsia="Calibri" w:hAnsi="Calibri"/>
          <w:b w:val="false"/>
          <w:bCs w:val="false"/>
          <w:sz w:val="21"/>
          <w:szCs w:val="21"/>
        </w:rPr>
      </w:pPr>
      <w:r>
        <w:rPr>
          <w:rFonts w:ascii="Calibri" w:cs="Calibri" w:eastAsia="Calibri" w:hAnsi="Calibri"/>
          <w:b w:val="false"/>
          <w:bCs w:val="false"/>
          <w:sz w:val="21"/>
          <w:szCs w:val="21"/>
          <w:lang w:val="en-US"/>
        </w:rPr>
        <w:t>2025年8月14日</w:t>
      </w:r>
    </w:p>
    <w:sectPr>
      <w:pgSz w:w="12240" w:h="20160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2A827F1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hybridMultilevel"/>
    <w:tmpl w:val="5985408B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00000002"/>
    <w:multiLevelType w:val="hybridMultilevel"/>
    <w:tmpl w:val="DF6D0EAE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1"/>
  </w:num>
  <w:num w:numId="5">
    <w:abstractNumId w:val="2"/>
  </w:num>
  <w:num w:numId="6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qFormat/>
    <w:uiPriority w:val="34"/>
    <w:pPr>
      <w:ind w:firstLine="420" w:firstLineChars="20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829</Words>
  <Characters>880</Characters>
  <Application>WPS Office</Application>
  <Paragraphs>43</Paragraphs>
  <CharactersWithSpaces>907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2025-08-04T03:12:03Z</dcterms:created>
  <dc:creator>2312DRA50C</dc:creator>
  <lastModifiedBy>2312DRA50C</lastModifiedBy>
  <dcterms:modified xsi:type="dcterms:W3CDTF">2025-08-12T16:35:09Z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44d3c5fcf3424bbc95287d9acccd25e2_21</vt:lpwstr>
  </property>
</Properties>
</file>