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
        </w:numPr>
        <w:ind w:firstLineChars="0"/>
        <w:rPr/>
      </w:pPr>
      <w:r>
        <w:t>退一赔十网络服务合同支付款502.6(10×50.26)元人民币。</w:t>
      </w:r>
    </w:p>
    <w:p w14:paraId="26D159EE">
      <w:pPr>
        <w:pStyle w:val="style179"/>
        <w:numPr>
          <w:ilvl w:val="0"/>
          <w:numId w:val="1"/>
        </w:numPr>
        <w:ind w:firstLineChars="0"/>
        <w:rPr/>
      </w:pPr>
      <w:r>
        <w:t>被告支付"损失赔偿金(起诉期</w:t>
      </w:r>
      <w:r>
        <w:rPr>
          <w:lang w:val="en-US"/>
        </w:rPr>
        <w:t>+审理期</w:t>
      </w:r>
      <w:r>
        <w:t>)"</w:t>
      </w:r>
      <w:r>
        <w:rPr>
          <w:lang w:val="en-US"/>
        </w:rPr>
        <w:t xml:space="preserve"> 18612600</w:t>
      </w:r>
      <w:r>
        <w:t>元人民币。</w:t>
      </w:r>
    </w:p>
    <w:p w14:paraId="1D651B81">
      <w:pPr>
        <w:pStyle w:val="style179"/>
        <w:numPr>
          <w:ilvl w:val="0"/>
          <w:numId w:val="1"/>
        </w:numPr>
        <w:ind w:firstLineChars="0"/>
        <w:rPr/>
      </w:pPr>
      <w:r>
        <w:t>被告承担因本案造成的其它成本和费用；包括但不限于律师费、诉讼费、交通费等。</w:t>
      </w:r>
    </w:p>
    <w:p w14:paraId="24A63F58">
      <w:pPr>
        <w:pStyle w:val="style179"/>
        <w:numPr>
          <w:ilvl w:val="0"/>
          <w:numId w:val="1"/>
        </w:numPr>
        <w:ind w:firstLineChars="0"/>
        <w:rPr/>
      </w:pPr>
      <w:r>
        <w:t>原告保留已诉请之外的其他所有权利。</w:t>
      </w:r>
    </w:p>
    <w:p w14:paraId="E35CF6B6">
      <w:pPr>
        <w:pStyle w:val="style0"/>
        <w:rPr/>
      </w:pPr>
    </w:p>
    <w:p w14:paraId="B4C536C0">
      <w:pPr>
        <w:pStyle w:val="style0"/>
        <w:rPr>
          <w:lang w:val="en-US"/>
        </w:rPr>
      </w:pPr>
      <w:r>
        <w:rPr>
          <w:lang w:val="en-US"/>
        </w:rPr>
        <w:t>即本案的 "</w:t>
      </w:r>
      <w:r>
        <w:rPr>
          <w:b/>
          <w:bCs/>
          <w:lang w:val="en-US"/>
        </w:rPr>
        <w:t>标的额</w:t>
      </w:r>
      <w:r>
        <w:rPr>
          <w:lang w:val="en-US"/>
        </w:rPr>
        <w:t xml:space="preserve">" 应当更新成 </w:t>
      </w:r>
      <w:r>
        <w:rPr>
          <w:rFonts w:ascii="Calibri" w:cs="Arial" w:eastAsia="宋体" w:hAnsi="Calibri" w:hint="default"/>
          <w:b/>
          <w:bCs/>
          <w:i w:val="false"/>
          <w:iCs w:val="false"/>
          <w:color w:val="auto"/>
          <w:kern w:val="2"/>
          <w:sz w:val="21"/>
          <w:szCs w:val="22"/>
          <w:highlight w:val="none"/>
          <w:vertAlign w:val="baseline"/>
          <w:em w:val="none"/>
          <w:lang w:val="en-US" w:eastAsia="zh-CN"/>
        </w:rPr>
        <w:t>18613102.60</w:t>
      </w:r>
      <w:r>
        <w:rPr>
          <w:b/>
          <w:bCs/>
          <w:lang w:val="en-US"/>
        </w:rPr>
        <w:t>元人民币</w:t>
      </w:r>
      <w:r>
        <w:rPr>
          <w:lang w:val="en-US"/>
        </w:rPr>
        <w:t>。</w:t>
      </w:r>
    </w:p>
    <w:p w14:paraId="FE480D00">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惩罚性赔偿损失参照"被告法定代表人年收入"对标, </w:t>
      </w:r>
      <w:r>
        <w:rPr>
          <w:rFonts w:ascii="Calibri" w:cs="Arial"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被告系头部平台方, 违约过错责任, 知法犯法, 集团化侵占权利, 扩大原告损失, 庭审仍有意"免除其责任, 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B467F73E">
      <w:pPr>
        <w:pStyle w:val="style0"/>
        <w:rPr/>
      </w:pPr>
      <w:r>
        <w:rPr>
          <w:b/>
          <w:bCs/>
          <w:sz w:val="21"/>
          <w:szCs w:val="21"/>
          <w:lang w:val="en-US"/>
        </w:rPr>
        <w:t>事实、理由</w:t>
      </w:r>
      <w:r>
        <w:rPr>
          <w:b/>
          <w:bCs/>
          <w:sz w:val="28"/>
          <w:szCs w:val="28"/>
          <w:lang w:val="en-US"/>
        </w:rPr>
        <w:t>:</w:t>
      </w:r>
    </w:p>
    <w:p w14:paraId="AE107130">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w:t>
      </w:r>
    </w:p>
    <w:p w14:paraId="51364864">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最终达到以头部集团平台"侵占、损害民众利益"并"免除其违约违规违法犯罪责任"的目的。</w:t>
      </w:r>
    </w:p>
    <w:p w14:paraId="8DBFF2AF">
      <w:pPr>
        <w:pStyle w:val="style179"/>
        <w:numPr>
          <w:ilvl w:val="0"/>
          <w:numId w:val="0"/>
        </w:numPr>
        <w:spacing w:lineRule="auto" w:line="240"/>
        <w:ind w:left="420" w:firstLine="0" w:firstLineChars="0"/>
        <w:jc w:val="both"/>
        <w:rPr>
          <w:rFonts w:ascii="Calibri" w:cs="Arial" w:eastAsia="宋体" w:hAnsi="Calibri" w:hint="default"/>
          <w:b/>
          <w:bCs/>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证据是被告方庭审提交的</w:t>
      </w:r>
      <w:r>
        <w:rPr>
          <w:rFonts w:ascii="Calibri" w:cs="Arial" w:eastAsia="宋体" w:hAnsi="Calibri" w:hint="default"/>
          <w:b/>
          <w:bCs/>
          <w:i w:val="false"/>
          <w:iCs w:val="false"/>
          <w:color w:val="auto"/>
          <w:kern w:val="2"/>
          <w:sz w:val="21"/>
          <w:szCs w:val="22"/>
          <w:highlight w:val="none"/>
          <w:vertAlign w:val="baseline"/>
          <w:em w:val="none"/>
          <w:lang w:val="en-US" w:eastAsia="zh-CN"/>
        </w:rPr>
        <w:t>证据</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bCs/>
          <w:i w:val="false"/>
          <w:iCs w:val="false"/>
          <w:color w:val="auto"/>
          <w:kern w:val="2"/>
          <w:sz w:val="21"/>
          <w:szCs w:val="22"/>
          <w:highlight w:val="none"/>
          <w:vertAlign w:val="baseline"/>
          <w:em w:val="none"/>
          <w:lang w:val="en-US" w:eastAsia="zh-CN"/>
        </w:rPr>
        <w:t>"答辩状":</w:t>
      </w:r>
    </w:p>
    <w:p w14:paraId="76C5D8D0">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vertAlign w:val="baseline"/>
          <w:em w:val="none"/>
          <w:lang w:val="en-US" w:eastAsia="zh-CN"/>
        </w:rPr>
        <w:t>目的是影响并操纵"本案有关人员的认知":</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"只是50.26元,</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晚退190天,</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而且已补退款"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E4E132B">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证实的理由有四点:</w:t>
      </w:r>
    </w:p>
    <w:p w14:paraId="86637317">
      <w:pPr>
        <w:pStyle w:val="style179"/>
        <w:numPr>
          <w:ilvl w:val="0"/>
          <w:numId w:val="14"/>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人行"非银支付管理办法"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03C0EE0">
      <w:pPr>
        <w:pStyle w:val="style179"/>
        <w:numPr>
          <w:ilvl w:val="0"/>
          <w:numId w:val="14"/>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立案前的190多天，被告怎么不退款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有意违约违规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被告全球头部平台不是办不到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DFC6D4C">
      <w:pPr>
        <w:pStyle w:val="style179"/>
        <w:numPr>
          <w:ilvl w:val="0"/>
          <w:numId w:val="14"/>
        </w:numPr>
        <w:ind w:firstLineChars="0"/>
        <w:rPr/>
      </w:pPr>
      <w:r>
        <w:rPr>
          <w:rFonts w:ascii="Calibri" w:cs="Arial" w:eastAsia="宋体" w:hAnsi="Calibri" w:hint="default"/>
          <w:b/>
          <w:bCs/>
          <w:i w:val="false"/>
          <w:iCs w:val="false"/>
          <w:color w:val="auto"/>
          <w:kern w:val="2"/>
          <w:sz w:val="21"/>
          <w:szCs w:val="22"/>
          <w:highlight w:val="none"/>
          <w:vertAlign w:val="baseline"/>
          <w:em w:val="none"/>
          <w:lang w:val="en-US" w:eastAsia="zh-CN"/>
        </w:rPr>
        <w:t>不尊重受损害方及其利益:</w:t>
      </w:r>
      <w:r>
        <w:rPr>
          <w:rFonts w:ascii="Calibri" w:cs="Arial" w:eastAsia="宋体" w:hAnsi="Calibri" w:hint="default"/>
          <w:b/>
          <w:bCs/>
          <w:i w:val="false"/>
          <w:iCs w:val="false"/>
          <w:color w:val="auto"/>
          <w:kern w:val="2"/>
          <w:sz w:val="21"/>
          <w:szCs w:val="22"/>
          <w:highlight w:val="none"/>
          <w:vertAlign w:val="baseline"/>
          <w:em w:val="none"/>
          <w:lang w:val="en-US" w:eastAsia="zh-CN"/>
        </w:rPr>
        <w:t>"仅退款",单方面,事先不与原告协商一致,事后不受原告认可.</w:t>
      </w:r>
    </w:p>
    <w:p w14:paraId="FC29A9DF">
      <w:pPr>
        <w:pStyle w:val="style179"/>
        <w:numPr>
          <w:ilvl w:val="0"/>
          <w:numId w:val="14"/>
        </w:numPr>
        <w:ind w:firstLineChars="0"/>
        <w:rPr/>
      </w:pPr>
      <w:r>
        <w:rPr>
          <w:b/>
          <w:bCs/>
          <w:lang w:val="en-US"/>
        </w:rPr>
        <w:t>阿里巴巴集团众多子公司集团化作案侵占本人财产及权益、知情权和其他有关权利;</w:t>
      </w:r>
    </w:p>
    <w:p w14:paraId="31A7E1F0">
      <w:pPr>
        <w:pStyle w:val="style179"/>
        <w:numPr>
          <w:ilvl w:val="0"/>
          <w:numId w:val="0"/>
        </w:numPr>
        <w:ind w:left="840" w:firstLine="0" w:firstLineChars="0"/>
        <w:rPr>
          <w:b w:val="false"/>
          <w:bCs w:val="false"/>
          <w:lang w:val="en-US"/>
        </w:rPr>
      </w:pPr>
      <w:r>
        <w:rPr>
          <w:b w:val="false"/>
          <w:bCs w:val="false"/>
          <w:lang w:val="en-US"/>
        </w:rPr>
        <w:t>"1月19日退款"由淘宝(中国)"确定因支付指令错误导致交易违约,造成损失有赔偿责任;</w:t>
      </w:r>
    </w:p>
    <w:p w14:paraId="23ABEB33">
      <w:pPr>
        <w:pStyle w:val="style179"/>
        <w:numPr>
          <w:ilvl w:val="0"/>
          <w:numId w:val="0"/>
        </w:numPr>
        <w:ind w:left="840" w:firstLine="0" w:firstLineChars="0"/>
        <w:rPr/>
      </w:pPr>
      <w:r>
        <w:rPr>
          <w:b w:val="false"/>
          <w:bCs w:val="false"/>
          <w:lang w:val="en-US"/>
        </w:rPr>
        <w:t>"2月20日",</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单方面,仅退款,</w:t>
      </w:r>
      <w:r>
        <w:rPr>
          <w:b w:val="false"/>
          <w:bCs w:val="false"/>
          <w:u w:val="single"/>
          <w:lang w:val="en-US"/>
        </w:rPr>
        <w:t>违规换用支付宝支付, 到账"1分钟"被"网商银行"全额扣划</w:t>
      </w:r>
      <w:r>
        <w:rPr>
          <w:b/>
          <w:bCs/>
          <w:lang w:val="en-US"/>
        </w:rPr>
        <w:t>.</w:t>
      </w:r>
    </w:p>
    <w:p w14:paraId="6B0534DF">
      <w:pPr>
        <w:pStyle w:val="style179"/>
        <w:numPr>
          <w:ilvl w:val="0"/>
          <w:numId w:val="0"/>
        </w:numPr>
        <w:ind w:left="840" w:firstLine="0" w:firstLineChars="0"/>
        <w:rPr/>
      </w:pPr>
      <w:r>
        <w:rPr>
          <w:u w:val="single"/>
          <w:lang w:val="en-US"/>
        </w:rPr>
        <w:t>淘特、</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淘宝、</w:t>
      </w:r>
      <w:r>
        <w:rPr>
          <w:u w:val="single"/>
          <w:lang w:val="en-US"/>
        </w:rPr>
        <w:t>支付宝、网商银行都是</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阿里巴巴集团利益关联公司</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FD32D9E1">
      <w:pPr>
        <w:pStyle w:val="style179"/>
        <w:numPr>
          <w:ilvl w:val="0"/>
          <w:numId w:val="18"/>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被告在立案前存在事实违反商业道德、违约、违规、违法犯罪行为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w:t>
      </w:r>
    </w:p>
    <w:p w14:paraId="E2D021C2">
      <w:pPr>
        <w:pStyle w:val="style179"/>
        <w:numPr>
          <w:ilvl w:val="0"/>
          <w:numId w:val="0"/>
        </w:numPr>
        <w:ind w:left="420" w:firstLine="0"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立案前被告明知是其过错责任,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并收到原告多日多方多次投诉索赔,</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190多天不退款,</w:t>
      </w:r>
    </w:p>
    <w:p w14:paraId="F2D764DC">
      <w:pPr>
        <w:pStyle w:val="style179"/>
        <w:numPr>
          <w:ilvl w:val="0"/>
          <w:numId w:val="0"/>
        </w:numPr>
        <w:ind w:left="420" w:firstLine="0"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以阿里巴巴集团为平台有预谋的侵占原告的合法权益,</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有意造成并事实扩大原告巨大损失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6DFFD8A6">
      <w:pPr>
        <w:pStyle w:val="style179"/>
        <w:numPr>
          <w:ilvl w:val="0"/>
          <w:numId w:val="18"/>
        </w:numPr>
        <w:ind w:firstLineChars="0"/>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"惩罚性赔偿损失"的必要、必须、公平 和 正义性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C872166A">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假设，中国的法律和法治只对"平民群众"是"严刑峻法"(参照"证据1"违约责任严罚)</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EEF608E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对"法人"，特别是"市场支配地位"的"平台型法人", "头部平台法人",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宽放纵任</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4F9EC0F9">
      <w:pPr>
        <w:pStyle w:val="style0"/>
        <w:ind w:firstLineChars="200"/>
        <w:rPr>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则不仅有悖于"公理"，也有悖于"法理"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7853645">
      <w:pPr>
        <w:pStyle w:val="style179"/>
        <w:numPr>
          <w:ilvl w:val="0"/>
          <w:numId w:val="18"/>
        </w:numPr>
        <w:ind w:firstLineChars="0"/>
        <w:rPr>
          <w:lang w:val="en-US"/>
        </w:rPr>
      </w:pPr>
      <w:r>
        <w:rPr>
          <w:b/>
          <w:bCs/>
          <w:u w:val="none"/>
          <w:lang w:val="en-US"/>
        </w:rPr>
        <w:t>"惩罚性赔偿损失"应当参照"侵权的平台方"的"法定代表人"的实际收入水平进行</w:t>
      </w:r>
      <w:r>
        <w:rPr>
          <w:b w:val="false"/>
          <w:bCs w:val="false"/>
          <w:u w:val="none"/>
          <w:lang w:val="en-US"/>
        </w:rPr>
        <w:t>的原因</w:t>
      </w:r>
      <w:r>
        <w:rPr>
          <w:lang w:val="en-US"/>
        </w:rPr>
        <w:t>：</w:t>
      </w:r>
    </w:p>
    <w:p w14:paraId="2F5F5AB9">
      <w:pPr>
        <w:pStyle w:val="style179"/>
        <w:numPr>
          <w:ilvl w:val="0"/>
          <w:numId w:val="7"/>
        </w:numPr>
        <w:ind w:firstLineChars="0"/>
        <w:rPr>
          <w:lang w:val="en-US"/>
        </w:rPr>
      </w:pPr>
      <w:r>
        <w:rPr>
          <w:lang w:val="en-US"/>
        </w:rPr>
        <w:t>为防止平台型法人"滥用市场及社会支配地位、操纵经济和社会秩序"，</w:t>
      </w:r>
    </w:p>
    <w:p w14:paraId="B3DE3922">
      <w:pPr>
        <w:pStyle w:val="style179"/>
        <w:numPr>
          <w:ilvl w:val="0"/>
          <w:numId w:val="7"/>
        </w:numPr>
        <w:ind w:firstLineChars="0"/>
        <w:rPr>
          <w:lang w:val="en-US"/>
        </w:rPr>
      </w:pPr>
      <w:r>
        <w:rPr>
          <w:lang w:val="en-US"/>
        </w:rPr>
        <w:t>为督促平台型法人防止此类案件发生；主动联系利益受损害方，第一时间赔偿；</w:t>
      </w:r>
    </w:p>
    <w:p w14:paraId="5523B7DF">
      <w:pPr>
        <w:pStyle w:val="style179"/>
        <w:numPr>
          <w:ilvl w:val="0"/>
          <w:numId w:val="7"/>
        </w:numPr>
        <w:ind w:firstLineChars="0"/>
        <w:rPr>
          <w:lang w:val="en-US"/>
        </w:rPr>
      </w:pPr>
      <w:r>
        <w:rPr>
          <w:lang w:val="en-US"/>
        </w:rPr>
        <w:t>当然也为受损害方，争取合理赔偿，保护民众的合法权利，特别是受司法救助的。</w:t>
      </w:r>
    </w:p>
    <w:p w14:paraId="FDC53874">
      <w:pPr>
        <w:pStyle w:val="style179"/>
        <w:numPr>
          <w:ilvl w:val="0"/>
          <w:numId w:val="18"/>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赔偿损失的参照模型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AC36DB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 xml:space="preserve">首先声明, </w:t>
      </w:r>
      <w:r>
        <w:rPr>
          <w:rFonts w:ascii="Calibri" w:cs="Arial" w:eastAsia="宋体" w:hAnsi="Calibri" w:hint="default"/>
          <w:b/>
          <w:bCs/>
          <w:i w:val="false"/>
          <w:iCs w:val="false"/>
          <w:color w:val="auto"/>
          <w:kern w:val="2"/>
          <w:sz w:val="21"/>
          <w:szCs w:val="22"/>
          <w:highlight w:val="none"/>
          <w:u w:val="none"/>
          <w:vertAlign w:val="baseline"/>
          <w:em w:val="none"/>
          <w:lang w:val="en-US" w:eastAsia="zh-CN"/>
        </w:rPr>
        <w:t>法院可以要求被告方提供其法定代表人的年收入报告作为惩罚性赔偿参考基准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659800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其次，以下"被告法定代表人"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"原告"的收入是</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模型估计值，但对本案有足够参考价值</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BA4EE92">
      <w:pPr>
        <w:pStyle w:val="style179"/>
        <w:numPr>
          <w:ilvl w:val="0"/>
          <w:numId w:val="10"/>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"被告法定代表人"的年收入估计在1亿元左右(含股权,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727B8DC">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833.33万元/月。即日薪: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27.78万元/天。</w:t>
      </w:r>
    </w:p>
    <w:p w14:paraId="CF5A8511">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18613102.60元(502.60+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7×27.78×10000+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60×27.78×10000)</w:t>
      </w:r>
    </w:p>
    <w:p w14:paraId="28F1FCCE">
      <w:pPr>
        <w:pStyle w:val="style179"/>
        <w:numPr>
          <w:ilvl w:val="0"/>
          <w:numId w:val="10"/>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原告保守估计现年收入: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319.20万元/年(2018年大约120万, 按15%年均增长率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2222658">
      <w:pPr>
        <w:pStyle w:val="style0"/>
        <w:spacing w:lineRule="auto" w:line="240"/>
        <w:ind w:left="84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26.60万元/月。即日薪: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0.89万元/天。</w:t>
      </w:r>
    </w:p>
    <w:p w14:paraId="8886E07B">
      <w:pPr>
        <w:pStyle w:val="style0"/>
        <w:spacing w:lineRule="auto" w:line="240"/>
        <w:ind w:left="840" w:firstLine="0" w:firstLineChars="0"/>
        <w:jc w:val="both"/>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596802.60元(502.60+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7×0.89×10000+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60×0.89×10000)</w:t>
      </w:r>
    </w:p>
    <w:p w14:paraId="16DE542B">
      <w:pPr>
        <w:pStyle w:val="style179"/>
        <w:numPr>
          <w:ilvl w:val="0"/>
          <w:numId w:val="18"/>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起诉期+审理期用时估计: 67天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(起诉期用7天，审理期先估计用60天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至今已用54天)。</w:t>
      </w:r>
    </w:p>
    <w:p w14:paraId="B231C570">
      <w:p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6月20日原告第一次提交申请到本法院。本案审理期在"总体样本空间"已是"异常小样本";</w:t>
      </w:r>
    </w:p>
    <w:p w14:paraId="A83A21AB">
      <w:p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只能先估计8月20日为判决执行日期，以给法院足够时间。</w:t>
      </w:r>
    </w:p>
    <w:p w14:paraId="257992A1">
      <w:pPr>
        <w:pStyle w:val="style0"/>
        <w:numPr>
          <w:ilvl w:val="0"/>
          <w:numId w:val="0"/>
        </w:numPr>
        <w:ind w:firstLineChars="200"/>
        <w:rPr>
          <w:b/>
          <w:bC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另外，</w:t>
      </w: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原告接受按照实际的判决执行日期更正标的额，以尊重法院的自主日程安排</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A7B096EE">
      <w:pPr>
        <w:pStyle w:val="style0"/>
        <w:rPr>
          <w:b/>
          <w:bCs/>
          <w:lang w:val="en-US"/>
        </w:rPr>
      </w:pPr>
    </w:p>
    <w:p w14:paraId="BE86376F">
      <w:pPr>
        <w:pStyle w:val="style0"/>
        <w:rPr>
          <w:b/>
          <w:bCs/>
          <w:lang w:val="en-US"/>
        </w:rPr>
      </w:pPr>
    </w:p>
    <w:p w14:paraId="A16C488A">
      <w:pPr>
        <w:pStyle w:val="style0"/>
        <w:rPr>
          <w:b/>
          <w:bCs/>
          <w:lang w:val="en-US"/>
        </w:rPr>
      </w:pPr>
    </w:p>
    <w:p w14:paraId="C9978898">
      <w:pPr>
        <w:pStyle w:val="style0"/>
        <w:rPr>
          <w:b/>
          <w:bCs/>
          <w:lang w:val="en-US"/>
        </w:rPr>
      </w:pPr>
    </w:p>
    <w:p w14:paraId="799A5A7C">
      <w:pPr>
        <w:pStyle w:val="style0"/>
        <w:rPr>
          <w:b/>
          <w:bCs/>
          <w:lang w:val="en-US"/>
        </w:rPr>
      </w:pPr>
    </w:p>
    <w:p w14:paraId="4CBFB7A9">
      <w:pPr>
        <w:pStyle w:val="style0"/>
        <w:rPr>
          <w:b/>
          <w:bCs/>
          <w:lang w:val="en-US"/>
        </w:rPr>
      </w:pPr>
    </w:p>
    <w:p w14:paraId="F8AA8DEF">
      <w:pPr>
        <w:pStyle w:val="style0"/>
        <w:rPr>
          <w:b/>
          <w:bCs/>
          <w:lang w:val="en-US"/>
        </w:rPr>
      </w:pPr>
      <w:r>
        <w:rPr>
          <w:b/>
          <w:bCs/>
          <w:lang w:val="en-US"/>
        </w:rPr>
        <w:t>证据:</w:t>
      </w:r>
    </w:p>
    <w:p w14:paraId="7C1652A7">
      <w:pPr>
        <w:pStyle w:val="style179"/>
        <w:numPr>
          <w:ilvl w:val="0"/>
          <w:numId w:val="16"/>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"违约责任严罚",可参考"信用卡逾期"的</w:t>
      </w:r>
      <w:r>
        <w:rPr>
          <w:rFonts w:ascii="Calibri" w:cs="Arial" w:eastAsia="宋体" w:hAnsi="Calibri" w:hint="default"/>
          <w:b/>
          <w:bCs/>
          <w:i w:val="false"/>
          <w:iCs w:val="false"/>
          <w:color w:val="auto"/>
          <w:kern w:val="2"/>
          <w:sz w:val="21"/>
          <w:szCs w:val="22"/>
          <w:highlight w:val="none"/>
          <w:vertAlign w:val="baseline"/>
          <w:em w:val="none"/>
          <w:lang w:val="en-US" w:eastAsia="zh-CN"/>
        </w:rPr>
        <w:t>原告真实</w:t>
      </w:r>
      <w:r>
        <w:rPr>
          <w:rFonts w:ascii="Calibri" w:cs="Arial" w:eastAsia="宋体" w:hAnsi="Calibri" w:hint="default"/>
          <w:b/>
          <w:bCs/>
          <w:i w:val="false"/>
          <w:iCs w:val="false"/>
          <w:color w:val="auto"/>
          <w:kern w:val="2"/>
          <w:sz w:val="21"/>
          <w:szCs w:val="22"/>
          <w:highlight w:val="none"/>
          <w:vertAlign w:val="baseline"/>
          <w:em w:val="none"/>
          <w:lang w:val="en-US" w:eastAsia="zh-CN"/>
        </w:rPr>
        <w:t>案例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：2019年前，原告交通银行信用卡，</w:t>
      </w:r>
    </w:p>
    <w:p w14:paraId="4FDA5001">
      <w:pPr>
        <w:spacing w:lineRule="auto" w:line="240"/>
        <w:ind w:left="200" w:leftChars="0" w:firstLineChars="20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只是"超过一个星期"未按时还款，还是忘记还(并非有意)数千元款，并愿意补还罚息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D5F0741">
      <w:pPr>
        <w:spacing w:lineRule="auto" w:line="240"/>
        <w:ind w:left="200" w:leftChars="0"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尽管，原告向"交通银行信用卡中心申诉过表明"不是故意，只是确实忘记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，愿补还罚息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AB24F61">
      <w:pPr>
        <w:spacing w:lineRule="auto" w:line="240"/>
        <w:ind w:left="200" w:leftChars="0" w:firstLineChars="20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但是，交通银行，不仅停了原告的"信用卡"，而且原告罚息偿还，并记入征信记录5年</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7CBB99B">
      <w:pPr>
        <w:pStyle w:val="style179"/>
        <w:numPr>
          <w:ilvl w:val="0"/>
          <w:numId w:val="16"/>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vertAlign w:val="baseline"/>
          <w:em w:val="none"/>
          <w:lang w:val="en-US" w:eastAsia="zh-CN"/>
        </w:rPr>
        <w:t>原告提交的证据 和 被告(杭州捡值了电子商务有限公司) 提交的"答辩状"及证据</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6700EF2">
      <w:pPr>
        <w:pStyle w:val="style179"/>
        <w:numPr>
          <w:ilvl w:val="0"/>
          <w:numId w:val="0"/>
        </w:numPr>
        <w:spacing w:lineRule="auto" w:line="240"/>
        <w:ind w:left="420" w:firstLine="0" w:firstLineChars="0"/>
        <w:jc w:val="both"/>
        <w:rPr>
          <w:b/>
          <w:bCs/>
        </w:rPr>
      </w:pPr>
      <w:r>
        <w:rPr>
          <w:b w:val="false"/>
          <w:bCs w:val="false"/>
          <w:lang w:val="en-US"/>
        </w:rPr>
        <w:t>被告方在庭审"答辩状"仍故意"免除或减少平台方责任，排除利益受损害方的主要权利"</w:t>
      </w:r>
      <w:r>
        <w:rPr>
          <w:lang w:val="en-US"/>
        </w:rPr>
        <w:t>。</w:t>
      </w:r>
    </w:p>
    <w:p w14:paraId="2FA4A885">
      <w:pPr>
        <w:pStyle w:val="style179"/>
        <w:numPr>
          <w:ilvl w:val="0"/>
          <w:numId w:val="0"/>
        </w:numPr>
        <w:spacing w:lineRule="auto" w:line="240"/>
        <w:ind w:left="420" w:firstLine="0" w:firstLineChars="0"/>
        <w:jc w:val="both"/>
        <w:rPr>
          <w:b/>
          <w:bC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以社会和市场支配地位，意图"不正当影响与操纵案件审理和法治公正"。</w:t>
      </w:r>
    </w:p>
    <w:p w14:paraId="FA03A1E7">
      <w:pPr>
        <w:pStyle w:val="style179"/>
        <w:numPr>
          <w:ilvl w:val="0"/>
          <w:numId w:val="16"/>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被告系头部平台法人都是 "全世界最大互联网公司之一"的"阿里巴巴集团" 利益关联公司</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1BFC3B45">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本案起因于平台方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支付违约违规过错责任, 退款违约违规违法, "赔付"无效违规违法;</w:t>
      </w:r>
    </w:p>
    <w:p w14:paraId="57B38A7F">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被告平台方接诉部门确认收到原告的多方多次多日投诉索赔</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；没有不先行赔付的正当理由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A132F90">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被告平台方知情知法仍违法违规侵占原告权利, 故意扩大原告损失；而且长达180天以上</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1B856EF5">
      <w:pPr>
        <w:pStyle w:val="style0"/>
        <w:numPr>
          <w:ilvl w:val="0"/>
          <w:numId w:val="0"/>
        </w:numPr>
        <w:ind w:firstLineChars="20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被告方在庭审答辩状仍故意"免除或减少平台方责任，排除利益受损害方的主要权利"。</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pPr>
      <w:r>
        <w:rPr>
          <w:rFonts w:ascii="Calibri" w:cs="Calibri" w:hAnsi="Calibri"/>
          <w:b w:val="false"/>
          <w:bCs w:val="false"/>
          <w:sz w:val="21"/>
          <w:szCs w:val="21"/>
          <w:lang w:val="en-US"/>
        </w:rPr>
        <w:t>杭州互联网法院</w:t>
      </w:r>
      <w:r>
        <w:rPr/>
        <w:drawing>
          <wp:anchor distT="0" distB="0" distL="0" distR="0" simplePos="false" relativeHeight="3" behindDoc="false" locked="false" layoutInCell="true" allowOverlap="true">
            <wp:simplePos x="0" y="0"/>
            <wp:positionH relativeFrom="page">
              <wp:posOffset>6328778</wp:posOffset>
            </wp:positionH>
            <wp:positionV relativeFrom="page">
              <wp:posOffset>4221710</wp:posOffset>
            </wp:positionV>
            <wp:extent cx="280615" cy="460478"/>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280615" cy="460478"/>
                    </a:xfrm>
                    <a:prstGeom prst="rect"/>
                  </pic:spPr>
                </pic:pic>
              </a:graphicData>
            </a:graphic>
          </wp:anchor>
        </w:drawing>
      </w:r>
    </w:p>
    <w:p w14:paraId="33BD2AF2">
      <w:pPr>
        <w:pStyle w:val="style0"/>
        <w:ind w:left="200" w:leftChars="0"/>
        <w:jc w:val="left"/>
        <w:rPr>
          <w:rFonts w:ascii="Calibri" w:cs="Calibri" w:hAnsi="Calibri"/>
          <w:b w:val="false"/>
          <w:bCs w:val="false"/>
          <w:sz w:val="21"/>
          <w:szCs w:val="21"/>
          <w:lang w:val="en-US"/>
        </w:rPr>
      </w:pP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6062315</wp:posOffset>
            </wp:positionH>
            <wp:positionV relativeFrom="page">
              <wp:posOffset>4521673</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2025年8月17日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91190AB"/>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98CBAB4B"/>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5F87F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6C251D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586DEF89"/>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9"/>
    <w:multiLevelType w:val="hybridMultilevel"/>
    <w:tmpl w:val="237CC0E0"/>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0"/>
  </w:num>
  <w:num w:numId="4">
    <w:abstractNumId w:val="1"/>
  </w:num>
  <w:num w:numId="5">
    <w:abstractNumId w:val="1"/>
  </w:num>
  <w:num w:numId="6">
    <w:abstractNumId w:val="2"/>
  </w:num>
  <w:num w:numId="7">
    <w:abstractNumId w:val="2"/>
  </w:num>
  <w:num w:numId="8">
    <w:abstractNumId w:val="3"/>
  </w:num>
  <w:num w:numId="9">
    <w:abstractNumId w:val="4"/>
  </w:num>
  <w:num w:numId="10">
    <w:abstractNumId w:val="4"/>
  </w:num>
  <w:num w:numId="11">
    <w:abstractNumId w:val="5"/>
  </w:num>
  <w:num w:numId="12">
    <w:abstractNumId w:val="6"/>
  </w:num>
  <w:num w:numId="13">
    <w:abstractNumId w:val="7"/>
  </w:num>
  <w:num w:numId="14">
    <w:abstractNumId w:val="7"/>
  </w:num>
  <w:num w:numId="15">
    <w:abstractNumId w:val="8"/>
  </w:num>
  <w:num w:numId="16">
    <w:abstractNumId w:val="8"/>
  </w:num>
  <w:num w:numId="17">
    <w:abstractNumId w:val="9"/>
  </w:num>
  <w:num w:numId="18">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1860</Words>
  <Characters>2071</Characters>
  <Application>WPS Office</Application>
  <Paragraphs>72</Paragraphs>
  <CharactersWithSpaces>2128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2025-08-16T17:02:32Z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