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179"/>
        <w:numPr>
          <w:ilvl w:val="0"/>
          <w:numId w:val="1"/>
        </w:numPr>
        <w:ind w:firstLineChars="0"/>
        <w:rPr/>
      </w:pPr>
      <w:r>
        <w:rPr>
          <w:lang w:val="en-US"/>
        </w:rPr>
        <w:t>淘特赔偿(</w:t>
      </w:r>
      <w:r>
        <w:t>退一赔十</w:t>
      </w:r>
      <w:r>
        <w:rPr>
          <w:lang w:val="en-US"/>
        </w:rPr>
        <w:t>)</w:t>
      </w:r>
      <w:r>
        <w:t>网络服务合同支付款502.6(10×50.26)元人民币。</w:t>
      </w:r>
    </w:p>
    <w:p w14:paraId="26D159EE">
      <w:pPr>
        <w:pStyle w:val="style179"/>
        <w:numPr>
          <w:ilvl w:val="0"/>
          <w:numId w:val="1"/>
        </w:numPr>
        <w:ind w:firstLineChars="0"/>
        <w:rPr/>
      </w:pPr>
      <w:r>
        <w:rPr>
          <w:lang w:val="en-US"/>
        </w:rPr>
        <w:t>淘特、淘宝、网商银行的每一方</w:t>
      </w:r>
      <w:r>
        <w:t>支付"损失赔偿金(起诉期</w:t>
      </w:r>
      <w:r>
        <w:rPr>
          <w:lang w:val="en-US"/>
        </w:rPr>
        <w:t>+审理期</w:t>
      </w:r>
      <w:r>
        <w:t>)"</w:t>
      </w:r>
      <w:r>
        <w:rPr>
          <w:lang w:val="en-US"/>
        </w:rPr>
        <w:t xml:space="preserve"> 18612600.00</w:t>
      </w:r>
      <w:r>
        <w:t>元人民币。</w:t>
      </w:r>
    </w:p>
    <w:p w14:paraId="1D651B81">
      <w:pPr>
        <w:pStyle w:val="style179"/>
        <w:numPr>
          <w:ilvl w:val="0"/>
          <w:numId w:val="1"/>
        </w:numPr>
        <w:ind w:firstLineChars="0"/>
        <w:rPr/>
      </w:pPr>
      <w:r>
        <w:t>被告承担因本案造成的其它成本和费用；包括但不限于律师费、诉讼费、交通费等。</w:t>
      </w:r>
    </w:p>
    <w:p w14:paraId="24A63F58">
      <w:pPr>
        <w:pStyle w:val="style179"/>
        <w:numPr>
          <w:ilvl w:val="0"/>
          <w:numId w:val="1"/>
        </w:numPr>
        <w:ind w:firstLineChars="0"/>
        <w:rPr/>
      </w:pPr>
      <w:r>
        <w:t>原告保留已诉请之外的其他所有权利。</w:t>
      </w:r>
    </w:p>
    <w:p w14:paraId="E35CF6B6">
      <w:pPr>
        <w:pStyle w:val="style0"/>
        <w:rPr/>
      </w:pPr>
    </w:p>
    <w:p w14:paraId="B4C536C0">
      <w:pPr>
        <w:pStyle w:val="style0"/>
        <w:rPr>
          <w:lang w:val="en-US"/>
        </w:rPr>
      </w:pPr>
      <w:r>
        <w:rPr>
          <w:lang w:val="en-US"/>
        </w:rPr>
        <w:t>即本案的 "</w:t>
      </w:r>
      <w:r>
        <w:rPr>
          <w:b/>
          <w:bCs/>
          <w:lang w:val="en-US"/>
        </w:rPr>
        <w:t>标的额</w:t>
      </w:r>
      <w:r>
        <w:rPr>
          <w:lang w:val="en-US"/>
        </w:rPr>
        <w:t xml:space="preserve">" 应当更新成 </w:t>
      </w:r>
      <w:r>
        <w:rPr>
          <w:b/>
          <w:bCs/>
          <w:lang w:val="en-US"/>
        </w:rPr>
        <w:t>55838302.60元人民币(502.60 + 3</w:t>
      </w:r>
      <w:r>
        <w:rPr>
          <w:rFonts w:ascii="Calibri" w:cs="Arial" w:eastAsia="宋体" w:hAnsi="Calibri" w:hint="default"/>
          <w:b/>
          <w:bCs/>
          <w:i w:val="false"/>
          <w:iCs w:val="false"/>
          <w:color w:val="auto"/>
          <w:kern w:val="2"/>
          <w:sz w:val="21"/>
          <w:szCs w:val="22"/>
          <w:highlight w:val="none"/>
          <w:vertAlign w:val="baseline"/>
          <w:em w:val="none"/>
          <w:lang w:val="en-US" w:eastAsia="zh-CN"/>
        </w:rPr>
        <w:t>×</w:t>
      </w:r>
      <w:r>
        <w:rPr>
          <w:b/>
          <w:bCs/>
          <w:lang w:val="en-US"/>
        </w:rPr>
        <w:t>18612600.00)</w:t>
      </w:r>
      <w:r>
        <w:rPr>
          <w:lang w:val="en-US"/>
        </w:rPr>
        <w:t>。</w:t>
      </w:r>
    </w:p>
    <w:p w14:paraId="F6C1BCAE">
      <w:pPr>
        <w:pStyle w:val="style0"/>
        <w:rPr>
          <w:b w:val="false"/>
          <w:bCs w:val="false"/>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一并将"淘特"、淘宝、浙江网商银行列入被告，因为都是利益关联方，都由"案审法院"管辖</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FE480D00">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惩罚性赔偿损失参照"被告法定代表人年收入"对标, </w:t>
      </w:r>
      <w:r>
        <w:rPr>
          <w:rFonts w:ascii="Calibri" w:cs="Arial" w:hAnsi="Calibri" w:hint="default"/>
          <w:b w:val="false"/>
          <w:bCs w:val="false"/>
          <w:i w:val="false"/>
          <w:iCs w:val="false"/>
          <w:color w:val="auto"/>
          <w:kern w:val="2"/>
          <w:sz w:val="21"/>
          <w:szCs w:val="22"/>
          <w:highlight w:val="none"/>
          <w:vertAlign w:val="baseline"/>
          <w:em w:val="none"/>
          <w:lang w:val="en-US" w:eastAsia="zh-CN"/>
        </w:rPr>
        <w:t>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因为</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被告系头部平台方, 违约过错责任, 知法犯法, 集团化侵占权利, 扩大原告损失, 庭审仍有意"免除其责任, 排除受损害方主要权利"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B467F73E">
      <w:pPr>
        <w:pStyle w:val="style0"/>
        <w:rPr/>
      </w:pPr>
      <w:r>
        <w:rPr>
          <w:b/>
          <w:bCs/>
          <w:sz w:val="21"/>
          <w:szCs w:val="21"/>
          <w:lang w:val="en-US"/>
        </w:rPr>
        <w:t>事实、理由</w:t>
      </w:r>
      <w:r>
        <w:rPr>
          <w:b/>
          <w:bCs/>
          <w:sz w:val="28"/>
          <w:szCs w:val="28"/>
          <w:lang w:val="en-US"/>
        </w:rPr>
        <w:t>:</w:t>
      </w:r>
    </w:p>
    <w:p w14:paraId="AE107130">
      <w:pPr>
        <w:pStyle w:val="style179"/>
        <w:numPr>
          <w:ilvl w:val="0"/>
          <w:numId w:val="2"/>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被告在立案后仍以社会和市场支配地位，意图"不正当影响与操纵案件审理和法治公正"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w:t>
      </w:r>
    </w:p>
    <w:p w14:paraId="51364864">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最终达到以头部集团平台"侵占、损害民众利益"并"免除其违约违规违法犯罪责任"的目的。</w:t>
      </w:r>
    </w:p>
    <w:p w14:paraId="8DBFF2AF">
      <w:pPr>
        <w:pStyle w:val="style179"/>
        <w:numPr>
          <w:ilvl w:val="0"/>
          <w:numId w:val="0"/>
        </w:numPr>
        <w:spacing w:lineRule="auto" w:line="240"/>
        <w:ind w:left="420" w:firstLine="0" w:firstLineChars="0"/>
        <w:jc w:val="both"/>
        <w:rPr>
          <w:rFonts w:ascii="Calibri" w:cs="Arial" w:eastAsia="宋体" w:hAnsi="Calibri" w:hint="default"/>
          <w:b/>
          <w:bCs/>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证据是被告方庭审提交的</w:t>
      </w:r>
      <w:r>
        <w:rPr>
          <w:rFonts w:ascii="Calibri" w:cs="Arial" w:eastAsia="宋体" w:hAnsi="Calibri" w:hint="default"/>
          <w:b/>
          <w:bCs/>
          <w:i w:val="false"/>
          <w:iCs w:val="false"/>
          <w:color w:val="auto"/>
          <w:kern w:val="2"/>
          <w:sz w:val="21"/>
          <w:szCs w:val="22"/>
          <w:highlight w:val="none"/>
          <w:vertAlign w:val="baseline"/>
          <w:em w:val="none"/>
          <w:lang w:val="en-US" w:eastAsia="zh-CN"/>
        </w:rPr>
        <w:t>证据</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bCs/>
          <w:i w:val="false"/>
          <w:iCs w:val="false"/>
          <w:color w:val="auto"/>
          <w:kern w:val="2"/>
          <w:sz w:val="21"/>
          <w:szCs w:val="22"/>
          <w:highlight w:val="none"/>
          <w:vertAlign w:val="baseline"/>
          <w:em w:val="none"/>
          <w:lang w:val="en-US" w:eastAsia="zh-CN"/>
        </w:rPr>
        <w:t>"答辩状":</w:t>
      </w:r>
    </w:p>
    <w:p w14:paraId="76C5D8D0">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vertAlign w:val="baseline"/>
          <w:em w:val="none"/>
          <w:lang w:val="en-US" w:eastAsia="zh-CN"/>
        </w:rPr>
        <w:t>目的是影响并操纵"本案有关人员的认知":</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"只是50.26元,</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晚退190天,</w:t>
      </w:r>
      <w:r>
        <w:rPr>
          <w:rFonts w:ascii="Calibri" w:cs="Arial" w:eastAsia="宋体" w:hAnsi="Calibri" w:hint="default"/>
          <w:b/>
          <w:bCs/>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而且已补退款"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E4E132B">
      <w:pPr>
        <w:pStyle w:val="style179"/>
        <w:numPr>
          <w:ilvl w:val="0"/>
          <w:numId w:val="0"/>
        </w:numPr>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证实的理由有三点:</w:t>
      </w:r>
    </w:p>
    <w:p w14:paraId="86637317">
      <w:pPr>
        <w:pStyle w:val="style179"/>
        <w:numPr>
          <w:ilvl w:val="0"/>
          <w:numId w:val="13"/>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只是50.26元，被告为什么不依法规先行赔付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人行"非银支付管理办法"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D03C0EE0">
      <w:pPr>
        <w:pStyle w:val="style179"/>
        <w:numPr>
          <w:ilvl w:val="0"/>
          <w:numId w:val="13"/>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立案前的190多天，被告怎么不退款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有意违约违规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被告全球头部平台不是办不到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DFC6D4C">
      <w:pPr>
        <w:pStyle w:val="style179"/>
        <w:numPr>
          <w:ilvl w:val="0"/>
          <w:numId w:val="13"/>
        </w:numPr>
        <w:ind w:firstLineChars="0"/>
        <w:rPr/>
      </w:pPr>
      <w:r>
        <w:rPr>
          <w:rFonts w:ascii="Calibri" w:cs="Arial" w:eastAsia="宋体" w:hAnsi="Calibri" w:hint="default"/>
          <w:b/>
          <w:bCs/>
          <w:i w:val="false"/>
          <w:iCs w:val="false"/>
          <w:color w:val="auto"/>
          <w:kern w:val="2"/>
          <w:sz w:val="21"/>
          <w:szCs w:val="22"/>
          <w:highlight w:val="none"/>
          <w:vertAlign w:val="baseline"/>
          <w:em w:val="none"/>
          <w:lang w:val="en-US" w:eastAsia="zh-CN"/>
        </w:rPr>
        <w:t>不尊重受损害方及其利益:</w:t>
      </w:r>
      <w:r>
        <w:rPr>
          <w:rFonts w:ascii="Calibri" w:cs="Arial" w:eastAsia="宋体" w:hAnsi="Calibri" w:hint="default"/>
          <w:b/>
          <w:bCs/>
          <w:i w:val="false"/>
          <w:iCs w:val="false"/>
          <w:color w:val="auto"/>
          <w:kern w:val="2"/>
          <w:sz w:val="21"/>
          <w:szCs w:val="22"/>
          <w:highlight w:val="none"/>
          <w:vertAlign w:val="baseline"/>
          <w:em w:val="none"/>
          <w:lang w:val="en-US" w:eastAsia="zh-CN"/>
        </w:rPr>
        <w:t>"仅退款",单方面,事先不与原告协商一致,事后不受原告认可.</w:t>
      </w:r>
    </w:p>
    <w:p w14:paraId="FD32D9E1">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被告在立案前存在事实违反商业道德、违约、违规、违法犯罪行为</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w:t>
      </w:r>
    </w:p>
    <w:p w14:paraId="F27C2642">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 xml:space="preserve">① </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本案起因于被告平台方支付违约违规过错责任, 退款违约违规违法</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p>
    <w:p w14:paraId="CDD5D614">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"1月19日退款"被告都确定因支付指令错误导致交易违约,造成损失有赔偿责任;</w:t>
      </w:r>
    </w:p>
    <w:p w14:paraId="7327119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u w:val="none" w:color="auto"/>
          <w:vertAlign w:val="baseline"/>
          <w:em w:val="none"/>
          <w:lang w:val="en-US" w:eastAsia="zh-CN"/>
        </w:rPr>
        <w:t xml:space="preserve">②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虚假"赔付"真"强迫交易"</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，侵占受损害方的财产、自由、自主权、知情权等。</w:t>
      </w:r>
    </w:p>
    <w:p w14:paraId="9DB05A6B">
      <w:pPr>
        <w:pStyle w:val="style179"/>
        <w:numPr>
          <w:ilvl w:val="0"/>
          <w:numId w:val="0"/>
        </w:numPr>
        <w:ind w:left="420" w:firstLine="0" w:firstLineChars="0"/>
        <w:rPr>
          <w:u w:val="single"/>
        </w:rPr>
      </w:pP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"2月20日"不协商不告知,</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被告</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单方面,仅退款,</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违规换用支付宝,</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到账"1分钟"被全额扣划</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DE4B9405">
      <w:pPr>
        <w:pStyle w:val="style0"/>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③ 被告平台方接诉部门确认收到原告多方多次多日投诉索赔</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；没有不先行赔付的正当理由</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DAFA60F">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④ 被告平台方知情知法, 仍侵占原告权利违法犯罪,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故意扩大原告损失；长达180天以上</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931D563">
      <w:pPr>
        <w:pStyle w:val="style179"/>
        <w:numPr>
          <w:ilvl w:val="0"/>
          <w:numId w:val="0"/>
        </w:numPr>
        <w:ind w:left="4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⑤ 被告方淘特在庭审答辩状仍故意"免除或减少平台方责任，排除利益受损害方主要权利"。</w:t>
      </w:r>
    </w:p>
    <w:p w14:paraId="3CD421B2">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阿里巴巴集团众多利益关联公司</w:t>
      </w:r>
      <w:r>
        <w:rPr>
          <w:rFonts w:ascii="Calibri" w:cs="Arial" w:eastAsia="宋体" w:hAnsi="Calibri" w:hint="default"/>
          <w:b/>
          <w:bCs/>
          <w:i w:val="false"/>
          <w:iCs w:val="false"/>
          <w:color w:val="auto"/>
          <w:kern w:val="2"/>
          <w:sz w:val="21"/>
          <w:szCs w:val="22"/>
          <w:highlight w:val="none"/>
          <w:vertAlign w:val="baseline"/>
          <w:em w:val="none"/>
          <w:lang w:val="en-US" w:eastAsia="zh-CN"/>
        </w:rPr>
        <w:t>，</w:t>
      </w:r>
      <w:r>
        <w:rPr>
          <w:rFonts w:ascii="Calibri" w:cs="Arial" w:eastAsia="宋体" w:hAnsi="Calibri" w:hint="default"/>
          <w:b/>
          <w:bCs/>
          <w:i w:val="false"/>
          <w:iCs w:val="false"/>
          <w:color w:val="auto"/>
          <w:kern w:val="2"/>
          <w:sz w:val="21"/>
          <w:szCs w:val="22"/>
          <w:highlight w:val="none"/>
          <w:vertAlign w:val="baseline"/>
          <w:em w:val="none"/>
          <w:lang w:val="en-US" w:eastAsia="zh-CN"/>
        </w:rPr>
        <w:t>集团化作案</w:t>
      </w:r>
      <w:r>
        <w:rPr>
          <w:rFonts w:ascii="Calibri" w:cs="Arial" w:eastAsia="宋体" w:hAnsi="Calibri" w:hint="default"/>
          <w:b/>
          <w:bCs/>
          <w:i w:val="false"/>
          <w:iCs w:val="false"/>
          <w:color w:val="auto"/>
          <w:kern w:val="2"/>
          <w:sz w:val="21"/>
          <w:szCs w:val="22"/>
          <w:highlight w:val="none"/>
          <w:vertAlign w:val="baseline"/>
          <w:em w:val="none"/>
          <w:lang w:val="en-US" w:eastAsia="zh-CN"/>
        </w:rPr>
        <w:t>虚假"赔付"真实"强迫交易"</w:t>
      </w:r>
      <w:r>
        <w:rPr>
          <w:rFonts w:ascii="Calibri" w:cs="Arial" w:eastAsia="宋体" w:hAnsi="Calibri" w:hint="default"/>
          <w:b/>
          <w:bCs/>
          <w:i w:val="false"/>
          <w:iCs w:val="false"/>
          <w:color w:val="auto"/>
          <w:kern w:val="2"/>
          <w:sz w:val="21"/>
          <w:szCs w:val="22"/>
          <w:highlight w:val="none"/>
          <w:vertAlign w:val="baseline"/>
          <w:em w:val="none"/>
          <w:lang w:val="en-US" w:eastAsia="zh-CN"/>
        </w:rPr>
        <w:t>侵权夺利;</w:t>
      </w:r>
    </w:p>
    <w:p w14:paraId="1E45D6AD">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被告都是头部平台法人,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都是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"全世界最大互联网公司之一"的阿里巴巴集团利益关联公司。</w:t>
      </w:r>
    </w:p>
    <w:p w14:paraId="B2D855EB">
      <w:pPr>
        <w:pStyle w:val="style179"/>
        <w:numPr>
          <w:ilvl w:val="0"/>
          <w:numId w:val="0"/>
        </w:numPr>
        <w:ind w:left="420" w:firstLine="0" w:firstLineChars="0"/>
        <w:rPr/>
      </w:pP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集团化作案；以阿里巴巴集团为平台,</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u w:val="single" w:color="auto"/>
          <w:vertAlign w:val="baseline"/>
          <w:em w:val="none"/>
          <w:lang w:val="en-US" w:eastAsia="zh-CN"/>
        </w:rPr>
        <w:t>有组织有计划强迫原告交易，侵占原告的合法权益。</w:t>
      </w:r>
    </w:p>
    <w:p w14:paraId="6DFFD8A6">
      <w:pPr>
        <w:pStyle w:val="style179"/>
        <w:numPr>
          <w:ilvl w:val="0"/>
          <w:numId w:val="19"/>
        </w:numPr>
        <w:ind w:firstLineChars="0"/>
        <w:rPr/>
      </w:pPr>
      <w:r>
        <w:rPr>
          <w:rFonts w:ascii="Calibri" w:cs="Arial" w:eastAsia="宋体" w:hAnsi="Calibri" w:hint="default"/>
          <w:b/>
          <w:bCs/>
          <w:i w:val="false"/>
          <w:iCs w:val="false"/>
          <w:color w:val="auto"/>
          <w:kern w:val="2"/>
          <w:sz w:val="21"/>
          <w:szCs w:val="22"/>
          <w:highlight w:val="none"/>
          <w:u w:val="none" w:color="auto"/>
          <w:vertAlign w:val="baseline"/>
          <w:em w:val="none"/>
          <w:lang w:val="en-US" w:eastAsia="zh-CN"/>
        </w:rPr>
        <w:t>"惩罚性赔偿损失"的必要、必须、公平 和 正义性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原因是:</w:t>
      </w:r>
    </w:p>
    <w:p w14:paraId="C872166A">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假设，中国的法律和法治只对"平民群众"是"严刑峻法"(参照"证据1"违约责任严罚)</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EEF608E8">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对"法人"，特别是"市场支配地位"的"平台型法人", "头部平台法人",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宽放纵任</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4F9EC0F9">
      <w:pPr>
        <w:pStyle w:val="style0"/>
        <w:ind w:firstLineChars="200"/>
        <w:rPr>
          <w:lang w:val="en-US"/>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则不仅有悖于"公理"，也有悖于"法理"</w:t>
      </w:r>
      <w:r>
        <w:rPr>
          <w:rFonts w:ascii="Calibri" w:cs="Arial" w:hAnsi="Calibri" w:hint="default"/>
          <w:b w:val="false"/>
          <w:bCs w:val="false"/>
          <w:i w:val="false"/>
          <w:iCs w:val="false"/>
          <w:color w:val="auto"/>
          <w:kern w:val="2"/>
          <w:sz w:val="21"/>
          <w:szCs w:val="22"/>
          <w:highlight w:val="none"/>
          <w:u w:val="single"/>
          <w:vertAlign w:val="baseline"/>
          <w:em w:val="none"/>
          <w:lang w:val="en-US" w:eastAsia="zh-CN"/>
        </w:rPr>
        <w:t>，更</w:t>
      </w: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有悖于商业道德、</w:t>
      </w:r>
      <w:r>
        <w:rPr>
          <w:rFonts w:ascii="Calibri" w:cs="Arial" w:hAnsi="Calibri" w:hint="default"/>
          <w:b w:val="false"/>
          <w:bCs w:val="false"/>
          <w:i w:val="false"/>
          <w:iCs w:val="false"/>
          <w:color w:val="000000"/>
          <w:kern w:val="2"/>
          <w:sz w:val="21"/>
          <w:szCs w:val="22"/>
          <w:highlight w:val="none"/>
          <w:u w:val="single" w:color="auto"/>
          <w:vertAlign w:val="baseline"/>
          <w:em w:val="none"/>
          <w:lang w:val="en-US" w:eastAsia="zh-CN"/>
        </w:rPr>
        <w:t>经济</w:t>
      </w: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和社会的公序良俗</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7853645">
      <w:pPr>
        <w:pStyle w:val="style179"/>
        <w:numPr>
          <w:ilvl w:val="0"/>
          <w:numId w:val="19"/>
        </w:numPr>
        <w:ind w:firstLineChars="0"/>
        <w:rPr>
          <w:lang w:val="en-US"/>
        </w:rPr>
      </w:pPr>
      <w:r>
        <w:rPr>
          <w:b/>
          <w:bCs/>
          <w:u w:val="none"/>
          <w:lang w:val="en-US"/>
        </w:rPr>
        <w:t>"惩罚性赔偿损失"应当参照"侵权的平台方"的"法定代表人"的实际收入水平进行</w:t>
      </w:r>
      <w:r>
        <w:rPr>
          <w:b w:val="false"/>
          <w:bCs w:val="false"/>
          <w:u w:val="none"/>
          <w:lang w:val="en-US"/>
        </w:rPr>
        <w:t>的原因</w:t>
      </w:r>
      <w:r>
        <w:rPr>
          <w:lang w:val="en-US"/>
        </w:rPr>
        <w:t>：</w:t>
      </w:r>
    </w:p>
    <w:p w14:paraId="2F5F5AB9">
      <w:pPr>
        <w:pStyle w:val="style179"/>
        <w:numPr>
          <w:ilvl w:val="0"/>
          <w:numId w:val="7"/>
        </w:numPr>
        <w:ind w:firstLineChars="0"/>
        <w:rPr>
          <w:lang w:val="en-US"/>
        </w:rPr>
      </w:pPr>
      <w:r>
        <w:rPr>
          <w:lang w:val="en-US"/>
        </w:rPr>
        <w:t>为防止平台型法人"滥用市场及社会支配地位、操纵经济和社会秩序"，</w:t>
      </w:r>
    </w:p>
    <w:p w14:paraId="B3DE3922">
      <w:pPr>
        <w:pStyle w:val="style179"/>
        <w:numPr>
          <w:ilvl w:val="0"/>
          <w:numId w:val="7"/>
        </w:numPr>
        <w:ind w:firstLineChars="0"/>
        <w:rPr>
          <w:lang w:val="en-US"/>
        </w:rPr>
      </w:pPr>
      <w:r>
        <w:rPr>
          <w:lang w:val="en-US"/>
        </w:rPr>
        <w:t>为督促平台型法人防止此类案件发生；主动联系利益受损害方，第一时间赔偿；</w:t>
      </w:r>
    </w:p>
    <w:p w14:paraId="5523B7DF">
      <w:pPr>
        <w:pStyle w:val="style179"/>
        <w:numPr>
          <w:ilvl w:val="0"/>
          <w:numId w:val="7"/>
        </w:numPr>
        <w:ind w:firstLineChars="0"/>
        <w:rPr>
          <w:lang w:val="en-US"/>
        </w:rPr>
      </w:pPr>
      <w:r>
        <w:rPr>
          <w:lang w:val="en-US"/>
        </w:rPr>
        <w:t>当然也为受损害方，争取合理赔偿，保护民众的合法权利，特别是受司法救助群体。</w:t>
      </w:r>
    </w:p>
    <w:p w14:paraId="FDC53874">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赔偿损失的参照模型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9F6417F">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bCs/>
          <w:i w:val="false"/>
          <w:iCs w:val="false"/>
          <w:color w:val="auto"/>
          <w:kern w:val="2"/>
          <w:sz w:val="21"/>
          <w:szCs w:val="22"/>
          <w:highlight w:val="none"/>
          <w:u w:val="none"/>
          <w:vertAlign w:val="baseline"/>
          <w:em w:val="none"/>
          <w:lang w:val="en-US" w:eastAsia="zh-CN"/>
        </w:rPr>
        <w:t>法院可以要求每一方被告提供其法定代表人的年收入作为惩罚性赔偿参考基准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FAC36DB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原告提供两种损失赔偿参照</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模型(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分别参照</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"任一被告的法定代表人的"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"原告的"收入</w:t>
      </w:r>
      <w:r>
        <w:rPr>
          <w:rFonts w:ascii="Calibri" w:cs="Arial" w:eastAsia="宋体" w:hAnsi="Calibri" w:hint="default"/>
          <w:b w:val="false"/>
          <w:bCs w:val="false"/>
          <w:i w:val="false"/>
          <w:iCs w:val="false"/>
          <w:color w:val="auto"/>
          <w:kern w:val="2"/>
          <w:sz w:val="21"/>
          <w:szCs w:val="22"/>
          <w:highlight w:val="none"/>
          <w:u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0BA4EE92">
      <w:pPr>
        <w:pStyle w:val="style0"/>
        <w:numPr>
          <w:ilvl w:val="0"/>
          <w:numId w:val="0"/>
        </w:num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① "任一被告的法定代表人"的年收入估计在1亿元左右(含股权,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727B8DC">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27.78万元/天</w:t>
      </w:r>
      <w:r>
        <w:rPr>
          <w:rFonts w:ascii="Calibri" w:cs="Arial" w:hAnsi="Calibri" w:hint="default"/>
          <w:b w:val="false"/>
          <w:bCs w:val="false"/>
          <w:i w:val="false"/>
          <w:iCs w:val="false"/>
          <w:color w:val="auto"/>
          <w:kern w:val="2"/>
          <w:sz w:val="21"/>
          <w:szCs w:val="22"/>
          <w:highlight w:val="none"/>
          <w:vertAlign w:val="baseline"/>
          <w:em w:val="none"/>
          <w:lang w:val="en-US" w:eastAsia="zh-CN"/>
        </w:rPr>
        <w:t>，或</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833.33万元/月。</w:t>
      </w:r>
    </w:p>
    <w:p w14:paraId="CF5A8511">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则任一被告分担赔偿损失金额</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bCs/>
          <w:i w:val="false"/>
          <w:iCs w:val="false"/>
          <w:color w:val="auto"/>
          <w:kern w:val="2"/>
          <w:sz w:val="21"/>
          <w:szCs w:val="22"/>
          <w:highlight w:val="none"/>
          <w:vertAlign w:val="baseline"/>
          <w:em w:val="none"/>
          <w:lang w:val="en-US" w:eastAsia="zh-CN"/>
        </w:rPr>
        <w:t>18612600.00元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7+60) ×27.78×10000 ]</w:t>
      </w:r>
    </w:p>
    <w:p w14:paraId="8B78EE98">
      <w:pPr>
        <w:pStyle w:val="style0"/>
        <w:numPr>
          <w:ilvl w:val="0"/>
          <w:numId w:val="0"/>
        </w:numPr>
        <w:spacing w:lineRule="auto" w:line="240"/>
        <w:ind w:firstLineChars="20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② 原告保守估计现年收入: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383.65万元/年, 根据原告历史薪资计算年均增长率估计模型:</w:t>
      </w:r>
    </w:p>
    <w:p w14:paraId="2F425183">
      <w:pPr>
        <w:pStyle w:val="style0"/>
        <w:numPr>
          <w:ilvl w:val="0"/>
          <w:numId w:val="0"/>
        </w:numPr>
        <w:spacing w:lineRule="auto" w:line="240"/>
        <w:ind w:firstLineChars="20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2008年月薪7000，2018年月薪10万, 即年均增长15.49%</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估计2025年月薪274040;</w:t>
      </w:r>
    </w:p>
    <w:p w14:paraId="749B1ED4">
      <w:pPr>
        <w:pStyle w:val="style0"/>
        <w:spacing w:lineRule="auto" w:line="24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换算成日薪: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0.9135万元/天</w:t>
      </w:r>
      <w:r>
        <w:rPr>
          <w:rFonts w:ascii="Calibri" w:cs="Arial" w:hAnsi="Calibri" w:hint="default"/>
          <w:b w:val="false"/>
          <w:bCs w:val="false"/>
          <w:i w:val="false"/>
          <w:iCs w:val="false"/>
          <w:color w:val="auto"/>
          <w:kern w:val="2"/>
          <w:sz w:val="21"/>
          <w:szCs w:val="22"/>
          <w:highlight w:val="none"/>
          <w:vertAlign w:val="baseline"/>
          <w:em w:val="none"/>
          <w:lang w:val="en-US" w:eastAsia="zh-CN"/>
        </w:rPr>
        <w:t>，或大约</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27.40万元/月。</w:t>
      </w:r>
    </w:p>
    <w:p w14:paraId="D2222658">
      <w:pPr>
        <w:pStyle w:val="style0"/>
        <w:spacing w:lineRule="auto" w:line="24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惩罚性赔偿损失的放大系数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合理值设为: 10.0(罚赔十倍)。</w:t>
      </w:r>
    </w:p>
    <w:p w14:paraId="8886E07B">
      <w:pPr>
        <w:pStyle w:val="style0"/>
        <w:spacing w:lineRule="auto" w:line="240"/>
        <w:jc w:val="both"/>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则任一被告分担损失赔偿金额 6120450.00元[ 10 ×</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7+60) ×0.9135×10000 ]</w:t>
      </w:r>
    </w:p>
    <w:p w14:paraId="16DE542B">
      <w:pPr>
        <w:pStyle w:val="style179"/>
        <w:numPr>
          <w:ilvl w:val="0"/>
          <w:numId w:val="19"/>
        </w:numPr>
        <w:spacing w:lineRule="auto" w:line="240"/>
        <w:ind w:firstLineChars="0"/>
        <w:jc w:val="both"/>
        <w:rPr/>
      </w:pP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起诉期+审理期用时估计: 67天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(起诉期用7天，审理期先估计用60天</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至今已用54天)。</w:t>
      </w:r>
    </w:p>
    <w:p w14:paraId="B231C570">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6月20日原告第一次提交申请到本法院。本案审理期在"总体样本空间"已是"异常小样本";</w:t>
      </w:r>
    </w:p>
    <w:p w14:paraId="A83A21AB">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只能先估计8月20日为判决执行日期，以给法院足够时间。</w:t>
      </w:r>
    </w:p>
    <w:p w14:paraId="257992A1">
      <w:pPr>
        <w:pStyle w:val="style0"/>
        <w:numPr>
          <w:ilvl w:val="0"/>
          <w:numId w:val="0"/>
        </w:numPr>
        <w:ind w:firstLineChars="200"/>
        <w:rPr>
          <w:b/>
          <w:bC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另外，</w:t>
      </w:r>
      <w:r>
        <w:rPr>
          <w:rFonts w:ascii="Calibri" w:cs="Arial" w:eastAsia="宋体" w:hAnsi="Calibri" w:hint="default"/>
          <w:b/>
          <w:bCs/>
          <w:i w:val="false"/>
          <w:iCs w:val="false"/>
          <w:color w:val="auto"/>
          <w:kern w:val="2"/>
          <w:sz w:val="21"/>
          <w:szCs w:val="22"/>
          <w:highlight w:val="none"/>
          <w:u w:val="single" w:color="auto"/>
          <w:vertAlign w:val="baseline"/>
          <w:em w:val="none"/>
          <w:lang w:val="en-US" w:eastAsia="zh-CN"/>
        </w:rPr>
        <w:t>原告接受按照实际的判决执行日期更正标的额，以尊重法院的自主日程安排</w:t>
      </w:r>
      <w:r>
        <w:rPr>
          <w:rFonts w:ascii="Calibri" w:cs="Arial" w:eastAsia="宋体" w:hAnsi="Calibri" w:hint="default"/>
          <w:b/>
          <w:bCs/>
          <w:i w:val="false"/>
          <w:iCs w:val="false"/>
          <w:color w:val="auto"/>
          <w:kern w:val="2"/>
          <w:sz w:val="21"/>
          <w:szCs w:val="22"/>
          <w:highlight w:val="none"/>
          <w:vertAlign w:val="baseline"/>
          <w:em w:val="none"/>
          <w:lang w:val="en-US" w:eastAsia="zh-CN"/>
        </w:rPr>
        <w:t>。</w:t>
      </w:r>
    </w:p>
    <w:p w14:paraId="A7B096EE">
      <w:pPr>
        <w:pStyle w:val="style0"/>
        <w:rPr>
          <w:b/>
          <w:bCs/>
          <w:lang w:val="en-US"/>
        </w:rPr>
      </w:pPr>
    </w:p>
    <w:p w14:paraId="BE86376F">
      <w:pPr>
        <w:pStyle w:val="style0"/>
        <w:rPr>
          <w:b/>
          <w:bCs/>
          <w:lang w:val="en-US"/>
        </w:rPr>
      </w:pPr>
    </w:p>
    <w:p w14:paraId="A16C488A">
      <w:pPr>
        <w:pStyle w:val="style0"/>
        <w:rPr>
          <w:b/>
          <w:bCs/>
          <w:lang w:val="en-US"/>
        </w:rPr>
      </w:pPr>
    </w:p>
    <w:p w14:paraId="C9978898">
      <w:pPr>
        <w:pStyle w:val="style0"/>
        <w:rPr>
          <w:b/>
          <w:bCs/>
          <w:lang w:val="en-US"/>
        </w:rPr>
      </w:pPr>
    </w:p>
    <w:p w14:paraId="799A5A7C">
      <w:pPr>
        <w:pStyle w:val="style0"/>
        <w:rPr>
          <w:b/>
          <w:bCs/>
          <w:lang w:val="en-US"/>
        </w:rPr>
      </w:pPr>
    </w:p>
    <w:p w14:paraId="4CBFB7A9">
      <w:pPr>
        <w:pStyle w:val="style0"/>
        <w:rPr>
          <w:b/>
          <w:bCs/>
          <w:lang w:val="en-US"/>
        </w:rPr>
      </w:pPr>
    </w:p>
    <w:p w14:paraId="F8AA8DEF">
      <w:pPr>
        <w:pStyle w:val="style0"/>
        <w:rPr>
          <w:b/>
          <w:bCs/>
          <w:lang w:val="en-US"/>
        </w:rPr>
      </w:pPr>
      <w:r>
        <w:rPr>
          <w:b/>
          <w:bCs/>
          <w:lang w:val="en-US"/>
        </w:rPr>
        <w:t>证据:</w:t>
      </w:r>
    </w:p>
    <w:p w14:paraId="7C1652A7">
      <w:pPr>
        <w:pStyle w:val="style179"/>
        <w:numPr>
          <w:ilvl w:val="0"/>
          <w:numId w:val="21"/>
        </w:numPr>
        <w:spacing w:lineRule="auto" w:line="240"/>
        <w:ind w:firstLineChars="0"/>
        <w:jc w:val="both"/>
        <w:rPr/>
      </w:pPr>
      <w:r>
        <w:rPr>
          <w:rFonts w:ascii="Calibri" w:cs="Arial" w:eastAsia="宋体" w:hAnsi="Calibri" w:hint="default"/>
          <w:b/>
          <w:bCs/>
          <w:i w:val="false"/>
          <w:iCs w:val="false"/>
          <w:color w:val="auto"/>
          <w:kern w:val="2"/>
          <w:sz w:val="21"/>
          <w:szCs w:val="22"/>
          <w:highlight w:val="none"/>
          <w:vertAlign w:val="baseline"/>
          <w:em w:val="none"/>
          <w:lang w:val="en-US" w:eastAsia="zh-CN"/>
        </w:rPr>
        <w:t>"违约责任严罚",可参考"信用卡逾期"常识; 原告真实</w:t>
      </w:r>
      <w:r>
        <w:rPr>
          <w:rFonts w:ascii="Calibri" w:cs="Arial" w:eastAsia="宋体" w:hAnsi="Calibri" w:hint="default"/>
          <w:b/>
          <w:bCs/>
          <w:i w:val="false"/>
          <w:iCs w:val="false"/>
          <w:color w:val="auto"/>
          <w:kern w:val="2"/>
          <w:sz w:val="21"/>
          <w:szCs w:val="22"/>
          <w:highlight w:val="none"/>
          <w:vertAlign w:val="baseline"/>
          <w:em w:val="none"/>
          <w:lang w:val="en-US" w:eastAsia="zh-CN"/>
        </w:rPr>
        <w:t>案例</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：2019年前，原告交行信用卡，</w:t>
      </w:r>
    </w:p>
    <w:p w14:paraId="4FDA5001">
      <w:pPr>
        <w:pStyle w:val="style0"/>
        <w:spacing w:lineRule="auto" w:line="240"/>
        <w:ind w:left="200" w:leftChars="0" w:firstLineChars="20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只超过"一个星期未按时还款"，还是忘记还(并非有意)数千元款，并愿意补还罚息</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EAB24F61">
      <w:pPr>
        <w:pStyle w:val="style0"/>
        <w:spacing w:lineRule="auto" w:line="240"/>
        <w:ind w:left="200" w:leftChars="0" w:firstLineChars="20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但是，交通银行，不仅停了原告的"信用卡"，而且原告罚息偿还，并记入征信记录5年</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6700EF2">
      <w:pPr>
        <w:pStyle w:val="style179"/>
        <w:numPr>
          <w:ilvl w:val="0"/>
          <w:numId w:val="2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b/>
          <w:bCs/>
          <w:lang w:val="en-US"/>
        </w:rPr>
        <w:t>被告方淘特庭审"答辩状"仍故意"免除被告平台方责任，排除被侵权受损害方的主要权利"</w:t>
      </w:r>
      <w:r>
        <w:rPr>
          <w:b w:val="false"/>
          <w:bCs w:val="false"/>
          <w:lang w:val="en-US"/>
        </w:rPr>
        <w:t>。</w:t>
      </w:r>
    </w:p>
    <w:p w14:paraId="D546DF66">
      <w:pPr>
        <w:pStyle w:val="style179"/>
        <w:numPr>
          <w:ilvl w:val="0"/>
          <w:numId w:val="21"/>
        </w:numPr>
        <w:spacing w:lineRule="auto" w:line="240"/>
        <w:ind w:firstLineChars="0"/>
        <w:jc w:val="both"/>
        <w:rPr>
          <w:b w:val="false"/>
          <w:bCs w:val="false"/>
        </w:rPr>
      </w:pPr>
      <w:r>
        <w:rPr>
          <w:b/>
          <w:bCs/>
          <w:lang w:val="en-US"/>
        </w:rPr>
        <w:t>支付宝交易记录: 淘特、淘宝、支付宝单方"仅退款"、网商银行通过支付宝全额扣款记录</w:t>
      </w:r>
      <w:r>
        <w:rPr>
          <w:b w:val="false"/>
          <w:bCs w:val="false"/>
          <w:lang w:val="en-US"/>
        </w:rPr>
        <w:t>；</w:t>
      </w:r>
    </w:p>
    <w:p w14:paraId="D106E2A3">
      <w:pPr>
        <w:pStyle w:val="style179"/>
        <w:numPr>
          <w:ilvl w:val="0"/>
          <w:numId w:val="21"/>
        </w:numPr>
        <w:spacing w:lineRule="auto" w:line="240"/>
        <w:ind w:firstLineChars="0"/>
        <w:jc w:val="both"/>
        <w:rPr>
          <w:b w:val="false"/>
          <w:bCs w:val="false"/>
        </w:rPr>
      </w:pPr>
      <w:r>
        <w:rPr>
          <w:b/>
          <w:bCs/>
          <w:lang w:val="en-US"/>
        </w:rPr>
        <w:t>被告淘特提交"赔付记录"、"账单详情"</w:t>
      </w:r>
      <w:r>
        <w:rPr>
          <w:b w:val="false"/>
          <w:bCs w:val="false"/>
          <w:lang w:val="en-US"/>
        </w:rPr>
        <w:t>；</w:t>
      </w:r>
    </w:p>
    <w:p w14:paraId="1B856EF5">
      <w:pPr>
        <w:pStyle w:val="style179"/>
        <w:numPr>
          <w:ilvl w:val="0"/>
          <w:numId w:val="21"/>
        </w:numPr>
        <w:ind w:firstLineChars="0"/>
        <w:rPr/>
      </w:pPr>
      <w:r>
        <w:rPr>
          <w:b/>
          <w:bCs/>
          <w:lang w:val="en-US"/>
        </w:rPr>
        <w:t>所有被告在"国家企业信用网"的注册信息</w:t>
      </w:r>
      <w:r>
        <w:rPr>
          <w:lang w:val="en-US"/>
        </w:rPr>
        <w:t>。</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pPr>
      <w:r>
        <w:rPr>
          <w:rFonts w:ascii="Calibri" w:cs="Calibri" w:hAnsi="Calibri"/>
          <w:b w:val="false"/>
          <w:bCs w:val="false"/>
          <w:sz w:val="21"/>
          <w:szCs w:val="21"/>
          <w:lang w:val="en-US"/>
        </w:rPr>
        <w:t>杭州互联网法院</w:t>
      </w:r>
    </w:p>
    <w:p w14:paraId="33BD2AF2">
      <w:pPr>
        <w:pStyle w:val="style0"/>
        <w:ind w:left="200" w:leftChars="0"/>
        <w:jc w:val="left"/>
        <w:rPr>
          <w:rFonts w:ascii="Calibri" w:cs="Calibri" w:hAnsi="Calibri"/>
          <w:b w:val="false"/>
          <w:bCs w:val="false"/>
          <w:sz w:val="21"/>
          <w:szCs w:val="21"/>
          <w:lang w:val="en-US"/>
        </w:rPr>
      </w:pPr>
      <w:r>
        <w:rPr/>
        <w:drawing>
          <wp:anchor distT="0" distB="0" distL="0" distR="0" simplePos="false" relativeHeight="3" behindDoc="false" locked="false" layoutInCell="true" allowOverlap="true">
            <wp:simplePos x="0" y="0"/>
            <wp:positionH relativeFrom="page">
              <wp:posOffset>6361969</wp:posOffset>
            </wp:positionH>
            <wp:positionV relativeFrom="page">
              <wp:posOffset>4739857</wp:posOffset>
            </wp:positionV>
            <wp:extent cx="280616" cy="460478"/>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280616" cy="460478"/>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6080294</wp:posOffset>
            </wp:positionH>
            <wp:positionV relativeFrom="page">
              <wp:posOffset>4901103</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2025年8月17日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91190AB"/>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98CBAB4B"/>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5F87F9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6C251D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586DEF89"/>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0000009"/>
    <w:multiLevelType w:val="hybridMultilevel"/>
    <w:tmpl w:val="237CC0E0"/>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000000A"/>
    <w:multiLevelType w:val="hybridMultilevel"/>
    <w:tmpl w:val="B80D0B5C"/>
    <w:lvl w:ilvl="0" w:tplc="0409000F">
      <w:start w:val="3"/>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000000B"/>
    <w:multiLevelType w:val="hybridMultilevel"/>
    <w:tmpl w:val="9B092D46"/>
    <w:lvl w:ilvl="0" w:tplc="0409000F">
      <w:start w:val="2"/>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000000C"/>
    <w:multiLevelType w:val="hybridMultilevel"/>
    <w:tmpl w:val="E1FF3F2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000000D"/>
    <w:multiLevelType w:val="hybridMultilevel"/>
    <w:tmpl w:val="FCC56654"/>
    <w:lvl w:ilvl="0" w:tplc="0409000F">
      <w:start w:val="4"/>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0"/>
  </w:num>
  <w:num w:numId="4">
    <w:abstractNumId w:val="1"/>
  </w:num>
  <w:num w:numId="5">
    <w:abstractNumId w:val="1"/>
  </w:num>
  <w:num w:numId="6">
    <w:abstractNumId w:val="2"/>
  </w:num>
  <w:num w:numId="7">
    <w:abstractNumId w:val="2"/>
  </w:num>
  <w:num w:numId="8">
    <w:abstractNumId w:val="3"/>
  </w:num>
  <w:num w:numId="9">
    <w:abstractNumId w:val="4"/>
  </w:num>
  <w:num w:numId="10">
    <w:abstractNumId w:val="5"/>
  </w:num>
  <w:num w:numId="11">
    <w:abstractNumId w:val="6"/>
  </w:num>
  <w:num w:numId="12">
    <w:abstractNumId w:val="7"/>
  </w:num>
  <w:num w:numId="13">
    <w:abstractNumId w:val="7"/>
  </w:num>
  <w:num w:numId="14">
    <w:abstractNumId w:val="8"/>
  </w:num>
  <w:num w:numId="15">
    <w:abstractNumId w:val="8"/>
  </w:num>
  <w:num w:numId="16">
    <w:abstractNumId w:val="9"/>
  </w:num>
  <w:num w:numId="17">
    <w:abstractNumId w:val="10"/>
  </w:num>
  <w:num w:numId="18">
    <w:abstractNumId w:val="11"/>
  </w:num>
  <w:num w:numId="19">
    <w:abstractNumId w:val="11"/>
  </w:num>
  <w:num w:numId="20">
    <w:abstractNumId w:val="12"/>
  </w:num>
  <w:num w:numId="21">
    <w:abstractNumId w:val="12"/>
  </w:num>
  <w:num w:numId="22">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1954</Words>
  <Characters>2173</Characters>
  <Application>WPS Office</Application>
  <Paragraphs>74</Paragraphs>
  <CharactersWithSpaces>2278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2025-08-17T05:56:48Z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