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получение практических навыков работы в консоли с расширенными атрибутами файлов.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(рис.1).</w:t>
      </w:r>
    </w:p>
    <w:p>
      <w:pPr>
        <w:numPr>
          <w:ilvl w:val="0"/>
          <w:numId w:val="1001"/>
        </w:numPr>
      </w:pPr>
      <w:r>
        <w:t xml:space="preserve">Установите на файл file1 права, разрешающие чтение и запись для владельца файла. 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732293"/>
            <wp:effectExtent b="0" l="0" r="0" t="0"/>
            <wp:docPr descr="Figure 1: рис.1. Определение расширенных атрибутов, установление прев на file1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Определение расширенных атрибутов, установление прев на file1.</w:t>
      </w:r>
    </w:p>
    <w:p>
      <w:pPr>
        <w:numPr>
          <w:ilvl w:val="0"/>
          <w:numId w:val="1001"/>
        </w:numPr>
      </w:pPr>
      <w:r>
        <w:t xml:space="preserve">Попробуйте установить на файл /home/guest/dir1/file1 расширенный атрибут a от имени пользователя guest (рис.2).</w:t>
      </w:r>
    </w:p>
    <w:p>
      <w:pPr>
        <w:numPr>
          <w:ilvl w:val="0"/>
          <w:numId w:val="1001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расширен- ный атрибут a на файл /home/guest/dir1/file1 от имени суперполь- зователя 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968442"/>
            <wp:effectExtent b="0" l="0" r="0" t="0"/>
            <wp:docPr descr="Figure 2: рис.2. Установление расширенного атрибут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Установление расширенного атрибута.</w:t>
      </w:r>
    </w:p>
    <w:p>
      <w:pPr>
        <w:numPr>
          <w:ilvl w:val="0"/>
          <w:numId w:val="1001"/>
        </w:numPr>
      </w:pPr>
      <w:r>
        <w:t xml:space="preserve">От пользователя guest проверьте правильность установления атрибута (рис.3).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1580071"/>
            <wp:effectExtent b="0" l="0" r="0" t="0"/>
            <wp:docPr descr="Figure 3: рис.3. Проверка атрибутов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Проверка атрибутов.</w:t>
      </w:r>
    </w:p>
    <w:p>
      <w:pPr>
        <w:numPr>
          <w:ilvl w:val="0"/>
          <w:numId w:val="1001"/>
        </w:numPr>
      </w:pPr>
      <w:r>
        <w:t xml:space="preserve">Выполните дозапись в файл file1 слова «test» (рис.4).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1066800"/>
            <wp:effectExtent b="0" l="0" r="0" t="0"/>
            <wp:docPr descr="Figure 4: рис.4. Запись в файл слова test и его чтение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рис.4. Запись в файл слова test и его чтение.</w:t>
      </w:r>
    </w:p>
    <w:p>
      <w:pPr>
        <w:numPr>
          <w:ilvl w:val="0"/>
          <w:numId w:val="1001"/>
        </w:numPr>
      </w:pPr>
      <w:r>
        <w:t xml:space="preserve">Попробуйте удалить файл file1 либо стереть имеющуюся в нём информацию (рис.5).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1171630"/>
            <wp:effectExtent b="0" l="0" r="0" t="0"/>
            <wp:docPr descr="Figure 5: рис.5. Удаление, переименование файла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рис.5. Удаление, переименование файла.</w:t>
      </w:r>
    </w:p>
    <w:p>
      <w:pPr>
        <w:numPr>
          <w:ilvl w:val="0"/>
          <w:numId w:val="1001"/>
        </w:numPr>
      </w:pPr>
      <w:r>
        <w:t xml:space="preserve">Попробуйте установить на файл file1 права, например, запрещающие чтение и за- пись для владельца файла (рис.6).</w:t>
      </w:r>
    </w:p>
    <w:p>
      <w:pPr>
        <w:numPr>
          <w:ilvl w:val="0"/>
          <w:numId w:val="1001"/>
        </w:numPr>
      </w:pPr>
      <w:r>
        <w:t xml:space="preserve">Снимите расширенный атрибут a с файла /home/guest/dirl/file1 от имени суперпользователя (рис.6-7).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5334000" cy="1031937"/>
            <wp:effectExtent b="0" l="0" r="0" t="0"/>
            <wp:docPr descr="Figure 6: рис.6. Установление на file1 прав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6: рис.6. Установление на file1 прав.</w:t>
      </w:r>
    </w:p>
    <w:p>
      <w:pPr>
        <w:numPr>
          <w:ilvl w:val="0"/>
          <w:numId w:val="1000"/>
        </w:numPr>
        <w:pStyle w:val="CaptionedFigure"/>
      </w:pPr>
      <w:bookmarkStart w:id="35" w:name="fig:007"/>
      <w:r>
        <w:drawing>
          <wp:inline>
            <wp:extent cx="5334000" cy="731520"/>
            <wp:effectExtent b="0" l="0" r="0" t="0"/>
            <wp:docPr descr="Figure 7: рис.7. Снятие расширенного атрибута и повтор команд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 7: рис.7. Снятие расширенного атрибута и повтор команд.</w:t>
      </w:r>
    </w:p>
    <w:p>
      <w:pPr>
        <w:numPr>
          <w:ilvl w:val="0"/>
          <w:numId w:val="1001"/>
        </w:numPr>
      </w:pPr>
      <w:r>
        <w:t xml:space="preserve">Повторите ваши действия по шагам, заменив атрибут «a» атрибутом «i» (рис.8).</w:t>
      </w:r>
    </w:p>
    <w:p>
      <w:pPr>
        <w:pStyle w:val="CaptionedFigure"/>
      </w:pPr>
      <w:bookmarkStart w:id="37" w:name="fig:008"/>
      <w:r>
        <w:drawing>
          <wp:inline>
            <wp:extent cx="5334000" cy="2926619"/>
            <wp:effectExtent b="0" l="0" r="0" t="0"/>
            <wp:docPr descr="Figure 8: рис.8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рис.8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 доступа. Имела возможность связать теорию дискреционного разделения доступа (дискреционная политика безопасности) с её реализацией на практике в ОС Linux.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Агеева Анастасия Борисовна</dc:creator>
  <dc:language>ru-RU</dc:language>
  <cp:keywords/>
  <dcterms:created xsi:type="dcterms:W3CDTF">2021-10-27T16:57:02Z</dcterms:created>
  <dcterms:modified xsi:type="dcterms:W3CDTF">2021-10-27T16:57:02Z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4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