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300"/>
        <w:jc w:val="center"/>
      </w:pPr>
      <w:r>
        <w:rPr>
          <w:b/>
          <w:bCs/>
          <w:color w:val="3B8763"/>
          <w:sz w:val="56"/>
          <w:szCs w:val="56"/>
        </w:rPr>
        <w:t xml:space="preserve">AI 智能饮食管理系统</w:t>
      </w:r>
    </w:p>
    <w:p>
      <w:pPr>
        <w:spacing w:after="60" w:before="200"/>
        <w:jc w:val="center"/>
      </w:pPr>
      <w:r>
        <w:rPr>
          <w:b/>
          <w:bCs/>
          <w:color w:val="173829"/>
          <w:sz w:val="32"/>
          <w:szCs w:val="32"/>
        </w:rPr>
        <w:t xml:space="preserve">团队执行落地方案</w:t>
      </w:r>
    </w:p>
    <w:p>
      <w:pPr>
        <w:spacing w:before="300"/>
        <w:jc w:val="center"/>
      </w:pPr>
      <w:r>
        <w:rPr>
          <w:color w:val="6b7a72"/>
          <w:sz w:val="22"/>
          <w:szCs w:val="22"/>
        </w:rPr>
        <w:t xml:space="preserve">成熟项目参考 · 目标架构草图 · 六人实现路线 · 工程协作 · 里程碑</w:t>
      </w:r>
    </w:p>
    <w:p>
      <w:r>
        <w:br w:type="page"/>
      </w:r>
    </w:p>
    <w:p>
      <w:pPr>
        <w:pStyle w:val="Heading1"/>
      </w:pPr>
      <w:r>
        <w:t xml:space="preserve">一、成熟参考项目及借鉴点</w:t>
      </w:r>
    </w:p>
    <w:p>
      <w:pPr>
        <w:spacing w:after="80" w:line="290"/>
      </w:pPr>
      <w:r>
        <w:t xml:space="preserve">下表中每个项目都对应「本系统可以直接借鉴」的具体设计点，是我们做架构与实现路线时的对标参照。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76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参考项目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76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技术/定位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76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借鉴内容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8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OpenFoodFacts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8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开源食物数据库，ODBL 开放数据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8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营养字段「每100g + 实际份量」双口径；产品主数据与营养字段分离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wger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Django 自托管健身/营养管理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训练·饮食·体重多模块拆分；NutritionPlan 独立实体；REST API + Docker 自托管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8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Grocy（含 caiborga 分支）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8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家庭食品管理；分支为 Spring Boot+Vue3+JWT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8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库存→购物清单→食谱→用餐计划链路（对应本项目购物清单）；分支与本技术栈高度一致可镜像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MyFitnessPal / Yazio / Lose 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商业卡路里追踪三类标杆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FoodDB→DailyLog→NutritionGoal→Weight→AI 主线闭环；Meal Scan 先识别后入库，不直接采信 AI 数值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8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CaloriMate（食光机）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8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Vue3 + Element Plus + ECharts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8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与本前端栈几乎一致，可对照 UI 模块与 AI 建议独立成模块的做法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RecipeSage / Caldish / FoodLens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AI 食物识别/营养分析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识别→食材/份量→映射本地库→营养校验的链路；AI 不做精确营养判断</w:t>
            </w:r>
          </w:p>
        </w:tc>
      </w:tr>
    </w:tbl>
    <w:p>
      <w:pPr>
        <w:spacing w:after="0" w:line="290"/>
      </w:pPr>
      <w:r>
        <w:t xml:space="preserve">BMR 公式采用 Mifflin-St Jeor（本项目已实现）；宏量营养素配比参考 AMDR 范围（蛋白10-35%、脂肪20-35%、碳水45-65%）。</w:t>
      </w:r>
    </w:p>
    <w:p>
      <w:pPr>
        <w:pStyle w:val="Heading1"/>
      </w:pPr>
      <w:r>
        <w:t xml:space="preserve">二、目标架构（系统应长什么样）</w:t>
      </w:r>
    </w:p>
    <w:p>
      <w:pPr>
        <w:spacing w:after="60" w:before="140"/>
      </w:pPr>
      <w:r>
        <w:rPr>
          <w:b/>
          <w:bCs/>
          <w:color w:val="173829"/>
          <w:sz w:val="24"/>
          <w:szCs w:val="24"/>
        </w:rPr>
        <w:t xml:space="preserve">2.1 总体分层（前后端分离 + 模块化单体）</w:t>
      </w:r>
    </w:p>
    <w:p>
      <w:pPr>
        <w:spacing w:after="80" w:line="290"/>
      </w:pPr>
      <w:r>
        <w:t xml:space="preserve">对 6 人团队，推荐「模块化单体」而非微服务：单一可部署应用 + 严格内部模块边界。后端按业务域拆 6 个 module（user/food/ai-识餐/health/recipe/community+stats），公共能力收敛到 common 底座（Result、JWT 拦截器、UserContext、NutritionCalculator、AiClient），依赖只能自上而下、禁止反向。</w:t>
      </w:r>
    </w:p>
    <w:p>
      <w:pPr>
        <w:spacing w:after="30" w:before="100"/>
        <w:jc w:val="center"/>
      </w:pPr>
      <w:r>
        <w:drawing>
          <wp:inline distT="0" distB="0" distL="0" distR="0">
            <wp:extent cx="6096000" cy="3543300"/>
            <wp:effectExtent t="0" r="0" b="0" l="0"/>
            <wp:docPr id="1" name="arch-overview.png" descr="arch-overview.png" title="arch-over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8a8577"/>
          <w:sz w:val="18"/>
          <w:szCs w:val="18"/>
        </w:rPr>
        <w:t xml:space="preserve">图1 · 系统总体架构分层</w:t>
      </w:r>
    </w:p>
    <w:p>
      <w:pPr>
        <w:spacing w:after="30" w:before="100"/>
        <w:jc w:val="center"/>
      </w:pPr>
      <w:r>
        <w:drawing>
          <wp:inline distT="0" distB="0" distL="0" distR="0">
            <wp:extent cx="6000750" cy="3429000"/>
            <wp:effectExtent t="0" r="0" b="0" l="0"/>
            <wp:docPr id="1" name="modules.png" descr="modules.png" title="modu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8a8577"/>
          <w:sz w:val="18"/>
          <w:szCs w:val="18"/>
        </w:rPr>
        <w:t xml:space="preserve">图2 · 六大协作模块 · 六人分工边界</w:t>
      </w:r>
    </w:p>
    <w:p>
      <w:pPr>
        <w:spacing w:after="60" w:before="140"/>
      </w:pPr>
      <w:r>
        <w:rPr>
          <w:b/>
          <w:bCs/>
          <w:color w:val="173829"/>
          <w:sz w:val="24"/>
          <w:szCs w:val="24"/>
        </w:rPr>
        <w:t xml:space="preserve">2.2 数据核心闭环（参考 MyFitnessPal 主线）</w:t>
      </w:r>
    </w:p>
    <w:p>
      <w:pPr>
        <w:spacing w:after="80" w:line="290"/>
      </w:pPr>
      <w:r>
        <w:t xml:space="preserve">FoodDB（营养库）→ DailyLog（打卡）→ NutritionGoal/达标率 → Weight/BMR 健康分析 → AI 建议，构成系统主闭环。AI 只负责「识别与建议」，精确营养值一律回本地库换算。</w:t>
      </w:r>
    </w:p>
    <w:p>
      <w:pPr>
        <w:spacing w:after="30" w:before="100"/>
        <w:jc w:val="center"/>
      </w:pPr>
      <w:r>
        <w:drawing>
          <wp:inline distT="0" distB="0" distL="0" distR="0">
            <wp:extent cx="6096000" cy="1981200"/>
            <wp:effectExtent t="0" r="0" b="0" l="0"/>
            <wp:docPr id="1" name="ai-flow.png" descr="ai-flow.png" title="ai-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8a8577"/>
          <w:sz w:val="18"/>
          <w:szCs w:val="18"/>
        </w:rPr>
        <w:t xml:space="preserve">图3 · AI 识餐核心链路</w:t>
      </w:r>
    </w:p>
    <w:p>
      <w:pPr>
        <w:spacing w:after="60" w:before="140"/>
      </w:pPr>
      <w:r>
        <w:rPr>
          <w:b/>
          <w:bCs/>
          <w:color w:val="173829"/>
          <w:sz w:val="24"/>
          <w:szCs w:val="24"/>
        </w:rPr>
        <w:t xml:space="preserve">2.3 建议的代码结构规范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后端：com.diet.{common,config,interceptor,controller,dto,entity,mapper,service,service.impl,util}，每个 module 再按 controller/service/mapper 拆分。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前端：src/{api,router,stores,views,utils,styles}，views 下按模块分包（当前已符合，可保持），api/ 与 stores/ 逐模块一个文件。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统一返回 Result{code,message,data}；DTO 接收入参并校验 @Valid，VO 返回给前端，Entity 不直接暴露。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可选增强：若后续要更严密的权限，可将「拦截器式 JWT」迁移到 Spring Security 过滤链（不建议在首期做，先保证功能跑通）。</w:t>
      </w:r>
    </w:p>
    <w:p>
      <w:pPr>
        <w:pStyle w:val="Heading1"/>
      </w:pPr>
      <w:r>
        <w:t xml:space="preserve">三、六人执行工作流与实现路线</w:t>
      </w:r>
    </w:p>
    <w:p>
      <w:pPr>
        <w:spacing w:after="80" w:line="290"/>
      </w:pPr>
      <w:r>
        <w:t xml:space="preserve">每个成员的通用执行流水线一致：拉 feature 分支 → 先定/对齐 OpenAPI 契约 → 实现后端接口 → 本地自测 → 实现前端页面并接 src/api → 全链路联调 → 发起 PR（过 CI + ≥1 人 review）→ 合并。下方为每人各自的实现路线。</w:t>
      </w:r>
    </w:p>
    <w:p>
      <w:pPr>
        <w:spacing w:after="30" w:before="100"/>
        <w:jc w:val="center"/>
      </w:pPr>
      <w:r>
        <w:drawing>
          <wp:inline distT="0" distB="0" distL="0" distR="0">
            <wp:extent cx="6096000" cy="2724150"/>
            <wp:effectExtent t="0" r="0" b="0" l="0"/>
            <wp:docPr id="1" name="git-flow.png" descr="git-flow.png" title="git-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8a8577"/>
          <w:sz w:val="18"/>
          <w:szCs w:val="18"/>
        </w:rPr>
        <w:t xml:space="preserve">图4 · 六人并行开发工作流</w:t>
      </w:r>
    </w:p>
    <w:p>
      <w:pPr>
        <w:pStyle w:val="Heading2"/>
      </w:pPr>
      <w:r>
        <w:t xml:space="preserve">3.1 成员A · 用户中心</w:t>
      </w:r>
    </w:p>
    <w:p>
      <w:pPr>
        <w:spacing w:after="60" w:before="140"/>
      </w:pPr>
      <w:r>
        <w:rPr>
          <w:b/>
          <w:bCs/>
          <w:color w:val="173829"/>
          <w:sz w:val="24"/>
          <w:szCs w:val="24"/>
        </w:rPr>
        <w:t xml:space="preserve">职责</w:t>
      </w:r>
    </w:p>
    <w:p>
      <w:pPr>
        <w:spacing w:after="80" w:line="290"/>
      </w:pPr>
      <w:r>
        <w:t xml:space="preserve">登录注册、JWT 无状态认证、角色权限、个人资料与管理员后台用户管理。</w:t>
      </w:r>
    </w:p>
    <w:p>
      <w:pPr>
        <w:spacing w:after="60" w:before="140"/>
      </w:pPr>
      <w:r>
        <w:rPr>
          <w:b/>
          <w:bCs/>
          <w:color w:val="173829"/>
          <w:sz w:val="24"/>
          <w:szCs w:val="24"/>
        </w:rPr>
        <w:t xml:space="preserve">设计思路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JWT 签发（24h）+ 拦截器解析写入 ThreadLocal（UserContext），全局取用当前用户；其它五模块都依赖本底座。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密码用 BCrypt 加密，接口不返回明文；/api/admin/** 额外校验管理员角色。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前端 axios 自动带 token、401 统一登出，路由守卫拦截未授权访问。</w:t>
      </w:r>
    </w:p>
    <w:p>
      <w:pPr>
        <w:spacing w:after="60" w:before="140"/>
      </w:pPr>
      <w:r>
        <w:rPr>
          <w:b/>
          <w:bCs/>
          <w:color w:val="173829"/>
          <w:sz w:val="24"/>
          <w:szCs w:val="24"/>
        </w:rPr>
        <w:t xml:space="preserve">实现路线（Sprint 内逐步落地）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搭骨架：JwtUtil / JwtInterceptor / UserContext(ThreadLocal) 并在 WebMvcConfig 注册，拦截 /api/**，/api/admin/** 校验管理员角色；sys_user 表。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AuthController：注册（BCrypt 加密）、登录签发 JWT（24h）、获取/更新个人资料；退出做前端清理。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AdminController 用户管理：列表分页、角色分配、启用/禁用。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前端：login/index.vue、stores/user.js、utils/request.js 请求拦截自动带 token + 401 统一登出、router 前置守卫拦截未授权。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可选：引入 springdoc-openapi 生成 Swagger 接口文档，作为契约先行的基础。</w:t>
      </w:r>
    </w:p>
    <w:p>
      <w:pPr>
        <w:spacing w:after="60" w:before="140"/>
      </w:pPr>
      <w:r>
        <w:rPr>
          <w:b/>
          <w:bCs/>
          <w:color w:val="173829"/>
          <w:sz w:val="24"/>
          <w:szCs w:val="24"/>
        </w:rPr>
        <w:t xml:space="preserve">验收标准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注册/登录成功、token 可鉴权，未授权请求返回 401、非管理员访问 /api/admin 返回 403。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密码在数据库为 BCrypt 密文，接口不返回明文。</w:t>
      </w:r>
    </w:p>
    <w:p>
      <w:pPr>
        <w:pStyle w:val="Heading2"/>
      </w:pPr>
      <w:r>
        <w:t xml:space="preserve">3.2 成员B · 营养数据</w:t>
      </w:r>
    </w:p>
    <w:p>
      <w:pPr>
        <w:spacing w:after="60" w:before="140"/>
      </w:pPr>
      <w:r>
        <w:rPr>
          <w:b/>
          <w:bCs/>
          <w:color w:val="173829"/>
          <w:sz w:val="24"/>
          <w:szCs w:val="24"/>
        </w:rPr>
        <w:t xml:space="preserve">职责</w:t>
      </w:r>
    </w:p>
    <w:p>
      <w:pPr>
        <w:spacing w:after="80" w:line="290"/>
      </w:pPr>
      <w:r>
        <w:t xml:space="preserve">食物成分表数据、搜索/联想/批量算营养/详情，以及食材收藏。</w:t>
      </w:r>
    </w:p>
    <w:p>
      <w:pPr>
        <w:spacing w:after="60" w:before="140"/>
      </w:pPr>
      <w:r>
        <w:rPr>
          <w:b/>
          <w:bCs/>
          <w:color w:val="173829"/>
          <w:sz w:val="24"/>
          <w:szCs w:val="24"/>
        </w:rPr>
        <w:t xml:space="preserve">设计思路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基于中国食物成分表 v6，提供每 100g 热量/蛋白/脂肪/碳水等标准数据。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名称模糊检索 + 前缀联想，分页返回；批量按 id/重量查库换算聚合，供识餐与食谱复用。</w:t>
      </w:r>
    </w:p>
    <w:p>
      <w:pPr>
        <w:spacing w:after="60" w:before="140"/>
      </w:pPr>
      <w:r>
        <w:rPr>
          <w:b/>
          <w:bCs/>
          <w:color w:val="173829"/>
          <w:sz w:val="24"/>
          <w:szCs w:val="24"/>
        </w:rPr>
        <w:t xml:space="preserve">实现路线（Sprint 内逐步落地）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建 food_nutrition 表并编写中国食物成分表(v6) 种子导入脚本（每100g 标准值）。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FoodNutritionController：名称模糊分页搜索、前缀联想接口（服务输入框）。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NutritionCalculator：按「每100g × 重量」批量换算并聚合（供識餐与食谱复用）。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UserFoodCollectController 收藏增删查（user-food 一对多）。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前端 food/query.vue 接入搜索/联想/批量计算/收藏。</w:t>
      </w:r>
    </w:p>
    <w:p>
      <w:pPr>
        <w:spacing w:after="60" w:before="140"/>
      </w:pPr>
      <w:r>
        <w:rPr>
          <w:b/>
          <w:bCs/>
          <w:color w:val="173829"/>
          <w:sz w:val="24"/>
          <w:szCs w:val="24"/>
        </w:rPr>
        <w:t xml:space="preserve">验收标准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搜索联想由接口返回、批量计算正确换算每100g×重量、收藏可增删分页查询。</w:t>
      </w:r>
    </w:p>
    <w:p>
      <w:pPr>
        <w:pStyle w:val="Heading2"/>
      </w:pPr>
      <w:r>
        <w:t xml:space="preserve">3.3 成员C · AI 识餐</w:t>
      </w:r>
    </w:p>
    <w:p>
      <w:pPr>
        <w:spacing w:after="60" w:before="140"/>
      </w:pPr>
      <w:r>
        <w:rPr>
          <w:b/>
          <w:bCs/>
          <w:color w:val="173829"/>
          <w:sz w:val="24"/>
          <w:szCs w:val="24"/>
        </w:rPr>
        <w:t xml:space="preserve">职责</w:t>
      </w:r>
    </w:p>
    <w:p>
      <w:pPr>
        <w:spacing w:after="80" w:line="290"/>
      </w:pPr>
      <w:r>
        <w:t xml:space="preserve">大模型调用客户端、食物名/整菜解析、饮食打卡录入。</w:t>
      </w:r>
    </w:p>
    <w:p>
      <w:pPr>
        <w:spacing w:after="60" w:before="140"/>
      </w:pPr>
      <w:r>
        <w:rPr>
          <w:b/>
          <w:bCs/>
          <w:color w:val="173829"/>
          <w:sz w:val="24"/>
          <w:szCs w:val="24"/>
        </w:rPr>
        <w:t xml:space="preserve">设计思路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AiClient 用原生 HttpURLConnection 调 OpenAI 兼容接口、180s 超时，规避大 JSON 被拒问题。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提示词强制只输出「食材名+重量」，营养换算由 NutritionCalculator 本地计算，杜绝 AI 编数字。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打卡 diet_record.food_id 允许为空，支持整菜（复合菜品）写入。</w:t>
      </w:r>
    </w:p>
    <w:p>
      <w:pPr>
        <w:spacing w:after="60" w:before="140"/>
      </w:pPr>
      <w:r>
        <w:rPr>
          <w:b/>
          <w:bCs/>
          <w:color w:val="173829"/>
          <w:sz w:val="24"/>
          <w:szCs w:val="24"/>
        </w:rPr>
        <w:t xml:space="preserve">实现路线（Sprint 内逐步落地）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AiClient 封装：原生 HttpURLConnection 调 DashScope OpenAI 兼容接口，显式 UTF-8 头 + setFixedLengthStreamingMode，按字节读原始响应，读超时 180s。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建 food_parse_prompt.txt：强制只输出「食材名+重量(g)」JSON（few-shot 示例：番茄炒蛋→番茄80g/鸡蛋60g），禁止输出营养。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实现稳健 JSON 解析管道 strip→repair→validate→retry（剥代码块/修引号/容错缺失，失败降温度重试 ≤3 次）。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DietRecordController /api/diet/ai-analyze：解析结果映射本地食材库 + NutritionCalculator 算营养；打卡 diet_record.food_id 允许 NULL 支持整菜。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前端 health/diet.vue 增加「AI 识别」模式开关并展示食材明细与一键打卡。</w:t>
      </w:r>
    </w:p>
    <w:p>
      <w:pPr>
        <w:spacing w:after="60" w:before="140"/>
      </w:pPr>
      <w:r>
        <w:rPr>
          <w:b/>
          <w:bCs/>
          <w:color w:val="173829"/>
          <w:sz w:val="24"/>
          <w:szCs w:val="24"/>
        </w:rPr>
        <w:t xml:space="preserve">验收标准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输入菜名返回食材明细+营养并成功写入 diet_record；AI 响应中不含热量/营养数值。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前端与后端超时均不低于 120s，避免大模型长响应被提前中断。</w:t>
      </w:r>
    </w:p>
    <w:p>
      <w:pPr>
        <w:pStyle w:val="Heading2"/>
      </w:pPr>
      <w:r>
        <w:t xml:space="preserve">3.4 成员D · 健康管理</w:t>
      </w:r>
    </w:p>
    <w:p>
      <w:pPr>
        <w:spacing w:after="60" w:before="140"/>
      </w:pPr>
      <w:r>
        <w:rPr>
          <w:b/>
          <w:bCs/>
          <w:color w:val="173829"/>
          <w:sz w:val="24"/>
          <w:szCs w:val="24"/>
        </w:rPr>
        <w:t xml:space="preserve">职责</w:t>
      </w:r>
    </w:p>
    <w:p>
      <w:pPr>
        <w:spacing w:after="80" w:line="290"/>
      </w:pPr>
      <w:r>
        <w:t xml:space="preserve">BMR/TDEE 计算、饮食打卡明细、体重管理、健康分析与每日摄入汇总。</w:t>
      </w:r>
    </w:p>
    <w:p>
      <w:pPr>
        <w:spacing w:after="60" w:before="140"/>
      </w:pPr>
      <w:r>
        <w:rPr>
          <w:b/>
          <w:bCs/>
          <w:color w:val="173829"/>
          <w:sz w:val="24"/>
          <w:szCs w:val="24"/>
        </w:rPr>
        <w:t xml:space="preserve">设计思路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Mifflin-St Jeor 公式算 BMR，乘活动系数得 TDEE，给出推荐热量与三大营养素配比。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按早/午/晚/加餐聚合打卡，算当日能量与达标率；体重同日覆盖 + 简易趋势预测。</w:t>
      </w:r>
    </w:p>
    <w:p>
      <w:pPr>
        <w:spacing w:after="60" w:before="140"/>
      </w:pPr>
      <w:r>
        <w:rPr>
          <w:b/>
          <w:bCs/>
          <w:color w:val="173829"/>
          <w:sz w:val="24"/>
          <w:szCs w:val="24"/>
        </w:rPr>
        <w:t xml:space="preserve">实现路线（Sprint 内逐步落地）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health_profile 表：Mifflin-St Jeor 公式算 BMR，× 活动系数得 TDEE，给出推荐热量与三大营养素配比。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DietRecordController：打卡增删改查 + 每日摄入按早/午/晚/加餐聚合 + 达标率。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WeightRecordController：体重记录、同日覆盖、历史列表与简单趋势（线性拟合）。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HealthProfileService：健康分析（摄入 vs 推荐、BMI/营养倾向提示）。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前端 health/profile.vue、diet.vue、weight.vue、analysis.vue 接入。</w:t>
      </w:r>
    </w:p>
    <w:p>
      <w:pPr>
        <w:spacing w:after="60" w:before="140"/>
      </w:pPr>
      <w:r>
        <w:rPr>
          <w:b/>
          <w:bCs/>
          <w:color w:val="173829"/>
          <w:sz w:val="24"/>
          <w:szCs w:val="24"/>
        </w:rPr>
        <w:t xml:space="preserve">验收标准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BMR 计算用标准公式验证准确；每日摄入汇总与达标率与打卡数据一致。</w:t>
      </w:r>
    </w:p>
    <w:p>
      <w:pPr>
        <w:pStyle w:val="Heading2"/>
      </w:pPr>
      <w:r>
        <w:t xml:space="preserve">3.5 成员E · AI 食谱</w:t>
      </w:r>
    </w:p>
    <w:p>
      <w:pPr>
        <w:spacing w:after="60" w:before="140"/>
      </w:pPr>
      <w:r>
        <w:rPr>
          <w:b/>
          <w:bCs/>
          <w:color w:val="173829"/>
          <w:sz w:val="24"/>
          <w:szCs w:val="24"/>
        </w:rPr>
        <w:t xml:space="preserve">职责</w:t>
      </w:r>
    </w:p>
    <w:p>
      <w:pPr>
        <w:spacing w:after="80" w:line="290"/>
      </w:pPr>
      <w:r>
        <w:t xml:space="preserve">AI 食谱生成、改良、周计划、单菜品分析、替换与购物清单。</w:t>
      </w:r>
    </w:p>
    <w:p>
      <w:pPr>
        <w:spacing w:after="60" w:before="140"/>
      </w:pPr>
      <w:r>
        <w:rPr>
          <w:b/>
          <w:bCs/>
          <w:color w:val="173829"/>
          <w:sz w:val="24"/>
          <w:szCs w:val="24"/>
        </w:rPr>
        <w:t xml:space="preserve">设计思路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按食材/忌口/口味/菜系约束生成多套菜单，每套多菜 + 详细做法（时序化）。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营养仍由本地库算（非模型产出）；改良支持低卡/低脂/高蛋白方向并对比差异。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购物清单按蔬菜/肉水产/调料去重聚合；前端 Pinia store 跨 Tab 共享生成结果。</w:t>
      </w:r>
    </w:p>
    <w:p>
      <w:pPr>
        <w:spacing w:after="60" w:before="140"/>
      </w:pPr>
      <w:r>
        <w:rPr>
          <w:b/>
          <w:bCs/>
          <w:color w:val="173829"/>
          <w:sz w:val="24"/>
          <w:szCs w:val="24"/>
        </w:rPr>
        <w:t xml:space="preserve">实现路线（Sprint 内逐步落地）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建 generate/improve/week/analyze/replace 提示词若干，AiRecipeServiceImpl 统一调用 AiClient。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生成：按食材/忌口/口味/菜系约束输出多套菜单，每套多菜+详细做法（阶段/步骤/时长时序化）；营养仍回本地库算。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改良（低卡/低脂/高蛋白方向，对比营养差异）、周计划（7日三餐+每日汇总）、菜品分析（还原食材与做法+热量）。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购物清单按蔬菜/肉水产/调料跨菜去重聚合；recipe 收藏与评分接口。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前端 recipe/generate.vue 多 Tab（食材/生成/改良/周计划/清单）+ Pinia recipe store 跨 Tab 共享结果。</w:t>
      </w:r>
    </w:p>
    <w:p>
      <w:pPr>
        <w:spacing w:after="60" w:before="140"/>
      </w:pPr>
      <w:r>
        <w:rPr>
          <w:b/>
          <w:bCs/>
          <w:color w:val="173829"/>
          <w:sz w:val="24"/>
          <w:szCs w:val="24"/>
        </w:rPr>
        <w:t xml:space="preserve">验收标准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依食材生成多套菜单且可改良；营养为本地计算值；购物清单去重正确；结果在多 Tab 间共享。</w:t>
      </w:r>
    </w:p>
    <w:p>
      <w:pPr>
        <w:pStyle w:val="Heading2"/>
      </w:pPr>
      <w:r>
        <w:t xml:space="preserve">3.6 成员F · 社区数据</w:t>
      </w:r>
    </w:p>
    <w:p>
      <w:pPr>
        <w:spacing w:after="60" w:before="140"/>
      </w:pPr>
      <w:r>
        <w:rPr>
          <w:b/>
          <w:bCs/>
          <w:color w:val="173829"/>
          <w:sz w:val="24"/>
          <w:szCs w:val="24"/>
        </w:rPr>
        <w:t xml:space="preserve">职责</w:t>
      </w:r>
    </w:p>
    <w:p>
      <w:pPr>
        <w:spacing w:after="80" w:line="290"/>
      </w:pPr>
      <w:r>
        <w:t xml:space="preserve">社区互动（信息流/发布/评论/点赞/关注/举报）、数据看板、营养助手问答。</w:t>
      </w:r>
    </w:p>
    <w:p>
      <w:pPr>
        <w:spacing w:after="60" w:before="140"/>
      </w:pPr>
      <w:r>
        <w:rPr>
          <w:b/>
          <w:bCs/>
          <w:color w:val="173829"/>
          <w:sz w:val="24"/>
          <w:szCs w:val="24"/>
        </w:rPr>
        <w:t xml:space="preserve">设计思路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社区信息流支持热门/最新/关注三排序，发布与评论过敏感词过滤，异常进举报审核。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看板用聚合 SQL 输出热量趋势、营养素占比、食材分类、分时段、达标率。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营养助手结合健康档案做个性化问答，并持久化聊天历史。</w:t>
      </w:r>
    </w:p>
    <w:p>
      <w:pPr>
        <w:spacing w:after="60" w:before="140"/>
      </w:pPr>
      <w:r>
        <w:rPr>
          <w:b/>
          <w:bCs/>
          <w:color w:val="173829"/>
          <w:sz w:val="24"/>
          <w:szCs w:val="24"/>
        </w:rPr>
        <w:t xml:space="preserve">实现路线（Sprint 内逐步落地）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CommunityController：信息流分页 + 热门/最新/关注三排序（浏览/点赞加权）。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发布/评论/点赞/关注/食谱收藏评分 + 举报；SensitiveWordFilter 敏感词过滤。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StatsController：聚合 SQL 输出按日热量趋势、营养素占比、食材分类、分时段摄入、达标率。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AiChatController：营养助手结合健康档案个性化问答，持久化 ai_chat_message 历史。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前端 community/*（广场/发布/个人主页/收藏夹）、dashboard/index.vue、health/chat.vue 接入。</w:t>
      </w:r>
    </w:p>
    <w:p>
      <w:pPr>
        <w:spacing w:after="60" w:before="140"/>
      </w:pPr>
      <w:r>
        <w:rPr>
          <w:b/>
          <w:bCs/>
          <w:color w:val="173829"/>
          <w:sz w:val="24"/>
          <w:szCs w:val="24"/>
        </w:rPr>
        <w:t xml:space="preserve">验收标准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发帖→评论→点赞→统计数据正确；敏感词被过滤；问答有历史记录。</w:t>
      </w:r>
    </w:p>
    <w:p>
      <w:pPr>
        <w:pStyle w:val="Heading1"/>
      </w:pPr>
      <w:r>
        <w:t xml:space="preserve">四、团队工程协作体系</w:t>
      </w:r>
    </w:p>
    <w:p>
      <w:pPr>
        <w:spacing w:after="60" w:before="140"/>
      </w:pPr>
      <w:r>
        <w:rPr>
          <w:b/>
          <w:bCs/>
          <w:color w:val="173829"/>
          <w:sz w:val="24"/>
          <w:szCs w:val="24"/>
        </w:rPr>
        <w:t xml:space="preserve">4.1 Git 工作流（GitHub Flow 风格）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每人一个 feature/{模块} 分支独立开发，频繁小提交；完成发 Pull Request，≥1 人 review + CI 通过才合并回 main。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main 始终保持可构建可部署；不使用复杂 Git Flow。分支示例：feature/auth、feature/ai-rec。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.gitignore 覆盖 IDE(.idea/.vscode/*.iml)、构建产物(node_modules/dist/target)、本地 .env、日志；严禁提交数据库密码/API Key/JWT 密钥（补 .gitignore 并复查）。</w:t>
      </w:r>
    </w:p>
    <w:p>
      <w:pPr>
        <w:spacing w:after="60" w:before="140"/>
      </w:pPr>
      <w:r>
        <w:rPr>
          <w:b/>
          <w:bCs/>
          <w:color w:val="173829"/>
          <w:sz w:val="24"/>
          <w:szCs w:val="24"/>
        </w:rPr>
        <w:t xml:space="preserve">4.2 API 契约先行（前后端并行不踩线）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后端接入 springdoc-openapi 生成 Swagger 文档，前端基于同一契约在 src/api 并行开发（当前 api/*.js 已按模块分包）。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URL 统一 /api 前缀 + 复数资源（/api/foods），HTTP 状态码约定（200/201/400/401/403/404/500）；接口变更先改契约再改代码。</w:t>
      </w:r>
    </w:p>
    <w:p>
      <w:pPr>
        <w:spacing w:after="60" w:before="140"/>
      </w:pPr>
      <w:r>
        <w:rPr>
          <w:b/>
          <w:bCs/>
          <w:color w:val="173829"/>
          <w:sz w:val="24"/>
          <w:szCs w:val="24"/>
        </w:rPr>
        <w:t xml:space="preserve">4.3 数据库与迁移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接入 Flyway 管理迁移（V1__xxx.sql…），所有建表/改表、种子数据统一进迁移脚本，禁止手工 ALTER；多人不直接改同一 SQL。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食物成分表种子数据单独维护为可重复执行的 INSERT 脚本，放在版本控制中。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本地统一用 Docker Compose 起 MySQL，gitignore 掉本地 .env，配置走环境变量。</w:t>
      </w:r>
    </w:p>
    <w:p>
      <w:pPr>
        <w:spacing w:after="60" w:before="140"/>
      </w:pPr>
      <w:r>
        <w:rPr>
          <w:b/>
          <w:bCs/>
          <w:color w:val="173829"/>
          <w:sz w:val="24"/>
          <w:szCs w:val="24"/>
        </w:rPr>
        <w:t xml:space="preserve">4.4 CI/CD 与代码规范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GitHub Actions 两个工作流：后端 CI（JDK17+mvn clean verify，起 MySQL 测试库）、前端 CI（node-ci+build）。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前端 ESLint + Prettier，提交前校验；提交信息采用约定式（feat:/fix:/docs:）。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b w:val="false"/>
          <w:bCs w:val="false"/>
        </w:rPr>
        <w:t xml:space="preserve">密钥不进仓库：GitHub Secrets 存放 DB_PASSWORD / JWT_SECRET / AI_API_KEY（本机密钥以 User 级环境变量注入，不进仓库）。</w:t>
      </w:r>
    </w:p>
    <w:p>
      <w:pPr>
        <w:pStyle w:val="Heading1"/>
      </w:pPr>
      <w:r>
        <w:t xml:space="preserve">五、开发路线图（里程碑）</w:t>
      </w:r>
    </w:p>
    <w:p>
      <w:pPr>
        <w:spacing w:after="80" w:line="290"/>
      </w:pPr>
      <w:r>
        <w:t xml:space="preserve">以「2 周一个迭代」为建议节奏，五周完成可演示版本（按团队实际进度可压缩/拉伸）。</w:t>
      </w:r>
    </w:p>
    <w:p>
      <w:pPr>
        <w:spacing w:after="30" w:before="100"/>
        <w:jc w:val="center"/>
      </w:pPr>
      <w:r>
        <w:drawing>
          <wp:inline distT="0" distB="0" distL="0" distR="0">
            <wp:extent cx="6096000" cy="1866900"/>
            <wp:effectExtent t="0" r="0" b="0" l="0"/>
            <wp:docPr id="1" name="sprint-gantt.png" descr="sprint-gantt.png" title="sprint-gant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8a8577"/>
          <w:sz w:val="18"/>
          <w:szCs w:val="18"/>
        </w:rPr>
        <w:t xml:space="preserve">图5 · 里程碑甘特示意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2960"/>
        <w:gridCol w:w="3000"/>
      </w:tblGrid>
      <w:tr>
        <w:trPr>
          <w:cantSplit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76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里程碑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76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周期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76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目标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76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交付物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8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Sprint 0 · 初始化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8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第1周上半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8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技术栈/骨架/数据库设计/OpenAPI 草案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8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可运行前后端 + 连接 DB + 初始接口文档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Sprint 1 · 认证+营养库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第1周下半~2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 认证 + B 营养库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登录/注册、用户CRUD、食材搜索联想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8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Sprint 2 · 六模块并行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8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第2周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8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C/D/E/F 四人并行开发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8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识餐/健康/AI食谱/社区看板 独立功能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Sprint 3 · AI+集成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第3周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AI 完整链路 + 每日摄入闭环 + E2E 联调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端到端测试报告、Bug 清单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8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Sprint 4 · 打磨验收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8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第4周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8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界面打磨/性能/文档/部署演示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8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最终可演示版本</w:t>
            </w:r>
          </w:p>
        </w:tc>
      </w:tr>
    </w:tbl>
    <w:sectPr>
      <w:footerReference w:type="default" r:id="rId7"/>
      <w:pgSz w:w="11906" w:h="16838" w:orient="portrait"/>
      <w:pgMar w:top="1440" w:right="1280" w:bottom="144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b0aca0"/>
        <w:sz w:val="18"/>
        <w:szCs w:val="18"/>
      </w:rPr>
      <w:t xml:space="preserve">AI 智能饮食管理系统 · 团队执行落地方案  ·  第 </w:t>
    </w:r>
    <w:r>
      <w:rPr>
        <w:color w:val="b0aca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b0aca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40" w:before="280"/>
      <w:outlineLvl w:val="0"/>
    </w:pPr>
    <w:rPr>
      <w:rFonts w:ascii="Arial" w:eastAsia="Microsoft YaHei" w:hAnsi="Arial"/>
      <w:b/>
      <w:bCs/>
      <w:color w:val="173829"/>
      <w:sz w:val="26"/>
      <w:szCs w:val="2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80" w:before="160"/>
      <w:outlineLvl w:val="1"/>
    </w:pPr>
    <w:rPr>
      <w:rFonts w:ascii="Arial" w:eastAsia="Microsoft YaHei" w:hAnsi="Arial"/>
      <w:b/>
      <w:bCs/>
      <w:color w:val="3B876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74c2f23a608d20265be17e9917f941321996691.png"/><Relationship Id="rId9" Type="http://schemas.openxmlformats.org/officeDocument/2006/relationships/image" Target="media/eed267985a7419dbbd8c7b49dd3486ba5e922ba8.png"/><Relationship Id="rId10" Type="http://schemas.openxmlformats.org/officeDocument/2006/relationships/image" Target="media/efa208108730d350db07556de6352d1bbf2b32d5.png"/><Relationship Id="rId11" Type="http://schemas.openxmlformats.org/officeDocument/2006/relationships/image" Target="media/b13d04ef16c1f4851045f671caedcbad976566b3.png"/><Relationship Id="rId12" Type="http://schemas.openxmlformats.org/officeDocument/2006/relationships/image" Target="media/574ceba463430a9c3802368da36061fcfb9cd45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2026-09-06T14:37:43.484Z</dcterms:created>
  <dcterms:modified xsi:type="dcterms:W3CDTF">2026-09-06T14:37:43.485Z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