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3.3.0 -->
  <w:body>
    <w:p w:rsidR="00FC5860" w:rsidRPr="00BE1BCD">
      <w:pPr>
        <w:spacing w:line="360" w:lineRule="auto"/>
        <w:jc w:val="center"/>
      </w:pPr>
      <w:r>
        <w:rPr>
          <w:rFonts w:ascii="宋体" w:eastAsia="宋体" w:hAnsi="宋体" w:cs="宋体"/>
          <w:b/>
          <w:color w:val="auto"/>
          <w:sz w:val="36"/>
        </w:rPr>
        <w:drawing>
          <wp:anchor simplePos="0" relativeHeight="251658240" behindDoc="0" locked="0" layoutInCell="1" allowOverlap="1">
            <wp:simplePos x="0" y="0"/>
            <wp:positionH relativeFrom="page">
              <wp:posOffset>12344400</wp:posOffset>
            </wp:positionH>
            <wp:positionV relativeFrom="topMargin">
              <wp:posOffset>11925300</wp:posOffset>
            </wp:positionV>
            <wp:extent cx="469900" cy="292100"/>
            <wp:wrapNone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b/>
          <w:color w:val="auto"/>
          <w:sz w:val="36"/>
        </w:rPr>
        <w:t>参考答案</w:t>
      </w:r>
    </w:p>
    <w:p w:rsidR="00FC5860" w:rsidRPr="00BE1BCD">
      <w:pPr>
        <w:spacing w:line="360" w:lineRule="auto"/>
        <w:jc w:val="center"/>
      </w:pPr>
      <w:r>
        <w:rPr>
          <w:rFonts w:ascii="宋体" w:eastAsia="宋体" w:hAnsi="宋体" w:cs="宋体"/>
          <w:b/>
          <w:color w:val="auto"/>
          <w:sz w:val="32"/>
        </w:rPr>
        <w:t>2024年全省普通高中学业水平等级考试</w:t>
      </w:r>
    </w:p>
    <w:p w:rsidR="00FC5860" w:rsidRPr="00BE1BCD">
      <w:pPr>
        <w:spacing w:line="360" w:lineRule="auto"/>
        <w:jc w:val="center"/>
      </w:pPr>
      <w:r>
        <w:rPr>
          <w:rFonts w:ascii="宋体" w:eastAsia="宋体" w:hAnsi="宋体" w:cs="宋体"/>
          <w:b/>
          <w:color w:val="auto"/>
          <w:sz w:val="32"/>
        </w:rPr>
        <w:t>思想政治</w:t>
      </w:r>
    </w:p>
    <w:p w:rsidR="00FC5860" w:rsidRPr="00BE1BCD">
      <w:pPr>
        <w:spacing w:line="360" w:lineRule="auto"/>
        <w:jc w:val="left"/>
      </w:pPr>
      <w:r>
        <w:rPr>
          <w:rFonts w:ascii="宋体" w:eastAsia="宋体" w:hAnsi="宋体" w:cs="宋体"/>
          <w:b/>
          <w:color w:val="auto"/>
          <w:sz w:val="24"/>
        </w:rPr>
        <w:t>注意事项：</w:t>
      </w:r>
    </w:p>
    <w:p w:rsidR="00FC5860" w:rsidRPr="00BE1BCD">
      <w:pPr>
        <w:spacing w:line="360" w:lineRule="auto"/>
        <w:jc w:val="left"/>
      </w:pPr>
      <w:r>
        <w:rPr>
          <w:rFonts w:ascii="宋体" w:eastAsia="宋体" w:hAnsi="宋体" w:cs="宋体"/>
          <w:b/>
          <w:color w:val="auto"/>
          <w:sz w:val="24"/>
        </w:rPr>
        <w:t>1．答卷前，考生务必将自己的姓名、考生号等填写在答题卡和试卷指定位置。</w:t>
      </w:r>
    </w:p>
    <w:p w:rsidR="00FC5860" w:rsidRPr="00BE1BCD">
      <w:pPr>
        <w:spacing w:line="360" w:lineRule="auto"/>
        <w:jc w:val="left"/>
      </w:pPr>
      <w:r>
        <w:rPr>
          <w:rFonts w:ascii="宋体" w:eastAsia="宋体" w:hAnsi="宋体" w:cs="宋体"/>
          <w:b/>
          <w:color w:val="auto"/>
          <w:sz w:val="24"/>
        </w:rPr>
        <w:t>2．回答选择题时，选出每小题答案后，用铅笔把答题卡上对应题目的答案标号涂黑。如需改动，用橡皮擦干净后，再选涂其他答案标号。回答非选择题时，将答案写在答题卡上。写在本试卷上无效。</w:t>
      </w:r>
    </w:p>
    <w:p w:rsidR="00FC5860" w:rsidRPr="00BE1BCD">
      <w:pPr>
        <w:spacing w:line="360" w:lineRule="auto"/>
        <w:jc w:val="left"/>
      </w:pPr>
      <w:r>
        <w:rPr>
          <w:rFonts w:ascii="宋体" w:eastAsia="宋体" w:hAnsi="宋体" w:cs="宋体"/>
          <w:b/>
          <w:color w:val="auto"/>
          <w:sz w:val="24"/>
        </w:rPr>
        <w:t>3．考试结束后，将本试卷和答题卡一并交回。</w:t>
      </w:r>
    </w:p>
    <w:p w:rsidR="00FC5860" w:rsidRPr="00BE1BCD">
      <w:pPr>
        <w:spacing w:line="360" w:lineRule="auto"/>
        <w:jc w:val="left"/>
      </w:pPr>
      <w:r>
        <w:rPr>
          <w:rFonts w:ascii="宋体" w:eastAsia="宋体" w:hAnsi="宋体" w:cs="宋体"/>
          <w:b/>
          <w:color w:val="auto"/>
          <w:sz w:val="24"/>
        </w:rPr>
        <w:t>一、选择题：本题共15小题，每小题3分，共45分。每小题只有一个选项符合题目要求。</w:t>
      </w:r>
    </w:p>
    <w:tbl>
      <w:tblPr>
        <w:tblStyle w:val="TableNormal"/>
        <w:tblW w:w="825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840"/>
        <w:gridCol w:w="840"/>
        <w:gridCol w:w="840"/>
        <w:gridCol w:w="840"/>
        <w:gridCol w:w="840"/>
        <w:gridCol w:w="798"/>
        <w:gridCol w:w="798"/>
        <w:gridCol w:w="798"/>
        <w:gridCol w:w="798"/>
        <w:gridCol w:w="840"/>
      </w:tblGrid>
      <w:tr>
        <w:tblPrEx>
          <w:tblW w:w="8250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  <w:tblLook w:val="04A0"/>
        </w:tblPrEx>
        <w:trPr>
          <w:cantSplit w:val="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bottom w:w="75" w:type="dxa"/>
            </w:tcMar>
            <w:vAlign w:val="center"/>
          </w:tcPr>
          <w:p w:rsidR="00FC5860" w:rsidRPr="00BE1BCD">
            <w:pPr>
              <w:widowControl w:val="0"/>
              <w:spacing w:line="360" w:lineRule="auto"/>
              <w:jc w:val="left"/>
              <w:rPr>
                <w:rFonts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1.</w:t>
            </w:r>
            <w:r w:rsidRPr="00BE1BCD">
              <w:rPr>
                <w:rFonts w:eastAsia="宋体" w:cs="宋体"/>
                <w:kern w:val="2"/>
                <w:sz w:val="21"/>
                <w:szCs w:val="24"/>
                <w:lang w:val="en-US" w:eastAsia="zh-CN" w:bidi="ar-SA"/>
              </w:rPr>
              <w:t>A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bottom w:w="75" w:type="dxa"/>
            </w:tcMar>
            <w:vAlign w:val="center"/>
          </w:tcPr>
          <w:p w:rsidR="00FC5860" w:rsidRPr="00BE1BCD">
            <w:pPr>
              <w:widowControl w:val="0"/>
              <w:spacing w:line="360" w:lineRule="auto"/>
              <w:jc w:val="left"/>
              <w:rPr>
                <w:rFonts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2.</w:t>
            </w:r>
            <w:r w:rsidRPr="00BE1BCD">
              <w:rPr>
                <w:rFonts w:eastAsia="宋体" w:cs="宋体"/>
                <w:kern w:val="2"/>
                <w:sz w:val="21"/>
                <w:szCs w:val="24"/>
                <w:lang w:val="en-US" w:eastAsia="zh-CN" w:bidi="ar-SA"/>
              </w:rPr>
              <w:t>C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bottom w:w="75" w:type="dxa"/>
            </w:tcMar>
            <w:vAlign w:val="center"/>
          </w:tcPr>
          <w:p w:rsidR="00FC5860" w:rsidRPr="00BE1BCD">
            <w:pPr>
              <w:widowControl w:val="0"/>
              <w:spacing w:line="360" w:lineRule="auto"/>
              <w:jc w:val="left"/>
              <w:rPr>
                <w:rFonts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3.</w:t>
            </w:r>
            <w:r w:rsidRPr="00BE1BCD">
              <w:rPr>
                <w:rFonts w:eastAsia="宋体" w:cs="宋体"/>
                <w:kern w:val="2"/>
                <w:sz w:val="21"/>
                <w:szCs w:val="24"/>
                <w:lang w:val="en-US" w:eastAsia="zh-CN" w:bidi="ar-SA"/>
              </w:rPr>
              <w:t>A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bottom w:w="75" w:type="dxa"/>
            </w:tcMar>
            <w:vAlign w:val="center"/>
          </w:tcPr>
          <w:p w:rsidR="00FC5860" w:rsidRPr="00BE1BCD">
            <w:pPr>
              <w:widowControl w:val="0"/>
              <w:spacing w:line="360" w:lineRule="auto"/>
              <w:jc w:val="left"/>
              <w:rPr>
                <w:rFonts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4.</w:t>
            </w:r>
            <w:r w:rsidRPr="00BE1BCD">
              <w:rPr>
                <w:rFonts w:eastAsia="宋体" w:cs="宋体"/>
                <w:kern w:val="2"/>
                <w:sz w:val="21"/>
                <w:szCs w:val="24"/>
                <w:lang w:val="en-US" w:eastAsia="zh-CN" w:bidi="ar-SA"/>
              </w:rPr>
              <w:t>B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bottom w:w="75" w:type="dxa"/>
            </w:tcMar>
            <w:vAlign w:val="center"/>
          </w:tcPr>
          <w:p w:rsidR="00FC5860" w:rsidRPr="00BE1BCD">
            <w:pPr>
              <w:widowControl w:val="0"/>
              <w:spacing w:line="360" w:lineRule="auto"/>
              <w:jc w:val="left"/>
              <w:rPr>
                <w:rFonts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5.</w:t>
            </w:r>
            <w:r w:rsidRPr="00BE1BCD">
              <w:rPr>
                <w:rFonts w:eastAsia="宋体" w:cs="宋体"/>
                <w:kern w:val="2"/>
                <w:sz w:val="21"/>
                <w:szCs w:val="24"/>
                <w:lang w:val="en-US" w:eastAsia="zh-CN" w:bidi="ar-SA"/>
              </w:rPr>
              <w:t>D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bottom w:w="75" w:type="dxa"/>
            </w:tcMar>
            <w:vAlign w:val="center"/>
          </w:tcPr>
          <w:p w:rsidR="00FC5860" w:rsidRPr="00BE1BCD">
            <w:pPr>
              <w:widowControl w:val="0"/>
              <w:spacing w:line="360" w:lineRule="auto"/>
              <w:jc w:val="left"/>
              <w:rPr>
                <w:rFonts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6.</w:t>
            </w:r>
            <w:r w:rsidRPr="00BE1BCD">
              <w:rPr>
                <w:rFonts w:eastAsia="宋体" w:cs="宋体"/>
                <w:kern w:val="2"/>
                <w:sz w:val="21"/>
                <w:szCs w:val="24"/>
                <w:lang w:val="en-US" w:eastAsia="zh-CN" w:bidi="ar-SA"/>
              </w:rPr>
              <w:t>D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bottom w:w="75" w:type="dxa"/>
            </w:tcMar>
            <w:vAlign w:val="center"/>
          </w:tcPr>
          <w:p w:rsidR="00FC5860" w:rsidRPr="00BE1BCD">
            <w:pPr>
              <w:widowControl w:val="0"/>
              <w:spacing w:line="360" w:lineRule="auto"/>
              <w:jc w:val="left"/>
              <w:rPr>
                <w:rFonts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7.</w:t>
            </w:r>
            <w:r w:rsidRPr="00BE1BCD">
              <w:rPr>
                <w:rFonts w:eastAsia="宋体" w:cs="宋体"/>
                <w:kern w:val="2"/>
                <w:sz w:val="21"/>
                <w:szCs w:val="24"/>
                <w:lang w:val="en-US" w:eastAsia="zh-CN" w:bidi="ar-SA"/>
              </w:rPr>
              <w:t>B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bottom w:w="75" w:type="dxa"/>
            </w:tcMar>
            <w:vAlign w:val="center"/>
          </w:tcPr>
          <w:p w:rsidR="00FC5860" w:rsidRPr="00BE1BCD">
            <w:pPr>
              <w:widowControl w:val="0"/>
              <w:spacing w:line="360" w:lineRule="auto"/>
              <w:jc w:val="left"/>
              <w:rPr>
                <w:rFonts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8.</w:t>
            </w:r>
            <w:r w:rsidRPr="00BE1BCD">
              <w:rPr>
                <w:rFonts w:eastAsia="宋体" w:cs="宋体"/>
                <w:kern w:val="2"/>
                <w:sz w:val="21"/>
                <w:szCs w:val="24"/>
                <w:lang w:val="en-US" w:eastAsia="zh-CN" w:bidi="ar-SA"/>
              </w:rPr>
              <w:t>D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bottom w:w="75" w:type="dxa"/>
            </w:tcMar>
            <w:vAlign w:val="center"/>
          </w:tcPr>
          <w:p w:rsidR="00FC5860" w:rsidRPr="00BE1BCD">
            <w:pPr>
              <w:widowControl w:val="0"/>
              <w:spacing w:line="360" w:lineRule="auto"/>
              <w:jc w:val="left"/>
              <w:rPr>
                <w:rFonts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9.</w:t>
            </w:r>
            <w:r w:rsidRPr="00BE1BCD">
              <w:rPr>
                <w:rFonts w:eastAsia="宋体" w:cs="宋体"/>
                <w:kern w:val="2"/>
                <w:sz w:val="21"/>
                <w:szCs w:val="24"/>
                <w:lang w:val="en-US" w:eastAsia="zh-CN" w:bidi="ar-SA"/>
              </w:rPr>
              <w:t>B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bottom w:w="75" w:type="dxa"/>
            </w:tcMar>
            <w:vAlign w:val="center"/>
          </w:tcPr>
          <w:p w:rsidR="00FC5860" w:rsidRPr="00BE1BCD">
            <w:pPr>
              <w:widowControl w:val="0"/>
              <w:spacing w:line="360" w:lineRule="auto"/>
              <w:jc w:val="left"/>
              <w:rPr>
                <w:rFonts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10.</w:t>
            </w:r>
            <w:r w:rsidRPr="00BE1BCD">
              <w:rPr>
                <w:rFonts w:eastAsia="宋体" w:cs="宋体"/>
                <w:kern w:val="2"/>
                <w:sz w:val="21"/>
                <w:szCs w:val="24"/>
                <w:lang w:val="en-US" w:eastAsia="zh-CN" w:bidi="ar-SA"/>
              </w:rPr>
              <w:t>A</w:t>
            </w:r>
          </w:p>
        </w:tc>
      </w:tr>
      <w:tr>
        <w:tblPrEx>
          <w:tblW w:w="8250" w:type="dxa"/>
          <w:tblInd w:w="0" w:type="dxa"/>
          <w:tblCellMar>
            <w:top w:w="120" w:type="dxa"/>
            <w:left w:w="120" w:type="dxa"/>
            <w:bottom w:w="120" w:type="dxa"/>
            <w:right w:w="120" w:type="dxa"/>
          </w:tblCellMar>
          <w:tblLook w:val="04A0"/>
        </w:tblPrEx>
        <w:trPr>
          <w:cantSplit w:val="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bottom w:w="75" w:type="dxa"/>
            </w:tcMar>
            <w:vAlign w:val="center"/>
          </w:tcPr>
          <w:p w:rsidR="00FC5860" w:rsidRPr="00BE1BCD">
            <w:pPr>
              <w:widowControl w:val="0"/>
              <w:spacing w:line="360" w:lineRule="auto"/>
              <w:jc w:val="left"/>
              <w:rPr>
                <w:rFonts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11.</w:t>
            </w:r>
            <w:r w:rsidRPr="00BE1BCD">
              <w:rPr>
                <w:rFonts w:eastAsia="宋体" w:cs="宋体"/>
                <w:kern w:val="2"/>
                <w:sz w:val="21"/>
                <w:szCs w:val="24"/>
                <w:lang w:val="en-US" w:eastAsia="zh-CN" w:bidi="ar-SA"/>
              </w:rPr>
              <w:t>C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bottom w:w="75" w:type="dxa"/>
            </w:tcMar>
            <w:vAlign w:val="center"/>
          </w:tcPr>
          <w:p w:rsidR="00FC5860" w:rsidRPr="00BE1BCD">
            <w:pPr>
              <w:widowControl w:val="0"/>
              <w:spacing w:line="360" w:lineRule="auto"/>
              <w:jc w:val="left"/>
              <w:rPr>
                <w:rFonts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12.</w:t>
            </w:r>
            <w:r w:rsidRPr="00BE1BCD">
              <w:rPr>
                <w:rFonts w:eastAsia="宋体" w:cs="宋体"/>
                <w:kern w:val="2"/>
                <w:sz w:val="21"/>
                <w:szCs w:val="24"/>
                <w:lang w:val="en-US" w:eastAsia="zh-CN" w:bidi="ar-SA"/>
              </w:rPr>
              <w:t>B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bottom w:w="75" w:type="dxa"/>
            </w:tcMar>
            <w:vAlign w:val="center"/>
          </w:tcPr>
          <w:p w:rsidR="00FC5860" w:rsidRPr="00BE1BCD">
            <w:pPr>
              <w:widowControl w:val="0"/>
              <w:spacing w:line="360" w:lineRule="auto"/>
              <w:jc w:val="left"/>
              <w:rPr>
                <w:rFonts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13.</w:t>
            </w:r>
            <w:r w:rsidRPr="00BE1BCD">
              <w:rPr>
                <w:rFonts w:eastAsia="宋体" w:cs="宋体"/>
                <w:kern w:val="2"/>
                <w:sz w:val="21"/>
                <w:szCs w:val="24"/>
                <w:lang w:val="en-US" w:eastAsia="zh-CN" w:bidi="ar-SA"/>
              </w:rPr>
              <w:t>C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bottom w:w="75" w:type="dxa"/>
            </w:tcMar>
            <w:vAlign w:val="center"/>
          </w:tcPr>
          <w:p w:rsidR="00FC5860" w:rsidRPr="00BE1BCD">
            <w:pPr>
              <w:widowControl w:val="0"/>
              <w:spacing w:line="360" w:lineRule="auto"/>
              <w:jc w:val="left"/>
              <w:rPr>
                <w:rFonts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14.</w:t>
            </w:r>
            <w:r w:rsidRPr="00BE1BCD">
              <w:rPr>
                <w:rFonts w:eastAsia="宋体" w:cs="宋体"/>
                <w:kern w:val="2"/>
                <w:sz w:val="21"/>
                <w:szCs w:val="24"/>
                <w:lang w:val="en-US" w:eastAsia="zh-CN" w:bidi="ar-SA"/>
              </w:rPr>
              <w:t>B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bottom w:w="75" w:type="dxa"/>
            </w:tcMar>
            <w:vAlign w:val="center"/>
          </w:tcPr>
          <w:p w:rsidR="00FC5860" w:rsidRPr="00BE1BCD">
            <w:pPr>
              <w:widowControl w:val="0"/>
              <w:spacing w:line="360" w:lineRule="auto"/>
              <w:jc w:val="left"/>
              <w:rPr>
                <w:rFonts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15.</w:t>
            </w:r>
            <w:r w:rsidRPr="00BE1BCD">
              <w:rPr>
                <w:rFonts w:eastAsia="宋体" w:cs="宋体"/>
                <w:kern w:val="2"/>
                <w:sz w:val="21"/>
                <w:szCs w:val="24"/>
                <w:lang w:val="en-US" w:eastAsia="zh-CN" w:bidi="ar-SA"/>
              </w:rPr>
              <w:t>A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bottom w:w="75" w:type="dxa"/>
            </w:tcMar>
            <w:vAlign w:val="center"/>
          </w:tcPr>
          <w:p w:rsidR="00FC5860" w:rsidRPr="00BE1BCD">
            <w:pPr>
              <w:widowControl w:val="0"/>
              <w:spacing w:line="360" w:lineRule="auto"/>
              <w:jc w:val="left"/>
              <w:rPr>
                <w:rFonts w:eastAsia="宋体" w:cs="宋体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bottom w:w="75" w:type="dxa"/>
            </w:tcMar>
            <w:vAlign w:val="center"/>
          </w:tcPr>
          <w:p w:rsidR="00FC5860" w:rsidRPr="00BE1BCD">
            <w:pPr>
              <w:widowControl w:val="0"/>
              <w:spacing w:line="360" w:lineRule="auto"/>
              <w:jc w:val="left"/>
              <w:rPr>
                <w:rFonts w:eastAsia="宋体" w:cs="宋体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bottom w:w="75" w:type="dxa"/>
            </w:tcMar>
            <w:vAlign w:val="center"/>
          </w:tcPr>
          <w:p w:rsidR="00FC5860" w:rsidRPr="00BE1BCD">
            <w:pPr>
              <w:widowControl w:val="0"/>
              <w:spacing w:line="360" w:lineRule="auto"/>
              <w:jc w:val="left"/>
              <w:rPr>
                <w:rFonts w:eastAsia="宋体" w:cs="宋体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bottom w:w="75" w:type="dxa"/>
            </w:tcMar>
            <w:vAlign w:val="center"/>
          </w:tcPr>
          <w:p w:rsidR="00FC5860" w:rsidRPr="00BE1BCD">
            <w:pPr>
              <w:widowControl w:val="0"/>
              <w:spacing w:line="360" w:lineRule="auto"/>
              <w:jc w:val="left"/>
              <w:rPr>
                <w:rFonts w:eastAsia="宋体" w:cs="宋体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bottom w:w="75" w:type="dxa"/>
            </w:tcMar>
            <w:vAlign w:val="center"/>
          </w:tcPr>
          <w:p w:rsidR="00FC5860" w:rsidRPr="00BE1BCD">
            <w:pPr>
              <w:widowControl w:val="0"/>
              <w:spacing w:line="360" w:lineRule="auto"/>
              <w:jc w:val="left"/>
              <w:rPr>
                <w:rFonts w:eastAsia="宋体" w:cs="宋体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 w:rsidR="00FC5860" w:rsidRPr="00BE1BCD">
      <w:pPr>
        <w:spacing w:line="360" w:lineRule="auto"/>
        <w:jc w:val="left"/>
      </w:pPr>
      <w:r>
        <w:rPr>
          <w:rFonts w:ascii="宋体" w:eastAsia="宋体" w:hAnsi="宋体" w:cs="宋体"/>
          <w:b/>
          <w:color w:val="auto"/>
          <w:sz w:val="24"/>
        </w:rPr>
        <w:t>二、非选择题，本题共4小题，共55分。</w:t>
      </w:r>
    </w:p>
    <w:p w:rsidR="00FC5860" w:rsidRPr="00BE1BCD">
      <w:pPr>
        <w:spacing w:line="360" w:lineRule="auto"/>
        <w:jc w:val="left"/>
      </w:pPr>
      <w:r>
        <w:rPr>
          <w:color w:val="auto"/>
          <w:sz w:val="23"/>
        </w:rPr>
        <w:t>16.</w:t>
      </w:r>
      <w:r w:rsidRPr="00BE1BCD">
        <w:t>（1）</w:t>
      </w:r>
    </w:p>
    <w:p w:rsidR="00FC5860" w:rsidRPr="00BE1BCD">
      <w:pPr>
        <w:spacing w:line="360" w:lineRule="auto"/>
        <w:jc w:val="left"/>
      </w:pPr>
      <w:r>
        <w:rPr>
          <w:rFonts w:ascii="宋体" w:eastAsia="宋体" w:hAnsi="宋体" w:cs="宋体"/>
          <w:color w:val="auto"/>
          <w:sz w:val="21"/>
        </w:rPr>
        <w:t xml:space="preserve">①注重调查研究，深入社区调研需求和听取建议。 </w:t>
      </w:r>
    </w:p>
    <w:p w:rsidR="00FC5860" w:rsidRPr="00BE1BCD">
      <w:pPr>
        <w:spacing w:line="360" w:lineRule="auto"/>
        <w:jc w:val="left"/>
      </w:pPr>
      <w:r>
        <w:rPr>
          <w:rFonts w:ascii="宋体" w:eastAsia="宋体" w:hAnsi="宋体" w:cs="宋体"/>
          <w:color w:val="auto"/>
          <w:sz w:val="21"/>
        </w:rPr>
        <w:t>②运用矛盾分析的方法，分析判断社区居民当前和倡议需求。</w:t>
      </w:r>
    </w:p>
    <w:p w:rsidR="00FC5860" w:rsidRPr="00BE1BCD">
      <w:pPr>
        <w:spacing w:line="360" w:lineRule="auto"/>
        <w:jc w:val="left"/>
      </w:pPr>
      <w:r>
        <w:rPr>
          <w:rFonts w:ascii="宋体" w:eastAsia="宋体" w:hAnsi="宋体" w:cs="宋体"/>
          <w:color w:val="auto"/>
          <w:sz w:val="21"/>
        </w:rPr>
        <w:t>③运用推理和想象的方法，根据社区现实情况做出合理预测 。</w:t>
      </w:r>
      <w:r w:rsidRPr="00BE1BCD">
        <w:t xml:space="preserve">    </w:t>
      </w:r>
    </w:p>
    <w:p w:rsidR="00FC5860" w:rsidRPr="00BE1BCD">
      <w:pPr>
        <w:spacing w:line="360" w:lineRule="auto"/>
        <w:jc w:val="left"/>
      </w:pPr>
      <w:r w:rsidRPr="00BE1BCD">
        <w:t>（2）</w:t>
      </w:r>
    </w:p>
    <w:p w:rsidR="00FC5860" w:rsidRPr="00BE1BCD">
      <w:pPr>
        <w:spacing w:line="360" w:lineRule="auto"/>
        <w:jc w:val="left"/>
      </w:pPr>
      <w:r>
        <w:rPr>
          <w:rFonts w:ascii="宋体" w:eastAsia="宋体" w:hAnsi="宋体" w:cs="宋体"/>
          <w:color w:val="auto"/>
          <w:sz w:val="21"/>
        </w:rPr>
        <w:t>①社区与居民：从坚持以人民为中心角度作答；从尊重公民权利角度作答，如财产权等；从有序政治参与角度作答，如民主决策、民主协商、民主监督、民主管理；</w:t>
      </w:r>
    </w:p>
    <w:p w:rsidR="00FC5860" w:rsidRPr="00BE1BCD">
      <w:pPr>
        <w:spacing w:line="360" w:lineRule="auto"/>
        <w:jc w:val="left"/>
      </w:pPr>
      <w:r>
        <w:rPr>
          <w:rFonts w:ascii="宋体" w:eastAsia="宋体" w:hAnsi="宋体" w:cs="宋体"/>
          <w:color w:val="auto"/>
          <w:sz w:val="21"/>
        </w:rPr>
        <w:t>②社区与企业：从社区依法治理角度作答；从企业承担社会责任角度作答；</w:t>
      </w:r>
    </w:p>
    <w:p w:rsidR="00FC5860" w:rsidRPr="00BE1BCD">
      <w:pPr>
        <w:spacing w:line="360" w:lineRule="auto"/>
        <w:jc w:val="left"/>
      </w:pPr>
      <w:r>
        <w:rPr>
          <w:rFonts w:ascii="宋体" w:eastAsia="宋体" w:hAnsi="宋体" w:cs="宋体"/>
          <w:color w:val="auto"/>
          <w:sz w:val="21"/>
        </w:rPr>
        <w:t>③企业与居氏：从预防矛盾角度作答，如协调双方签订书面合同，协调双方处理好相邻关系等；从解决矛盾角度作答，如协商、调解等。(若从其他角度作答，言之有理，可酌情给分)</w:t>
      </w:r>
    </w:p>
    <w:p w:rsidR="00FC5860" w:rsidRPr="00BE1BCD">
      <w:pPr>
        <w:spacing w:line="360" w:lineRule="auto"/>
        <w:jc w:val="left"/>
      </w:pPr>
      <w:r>
        <w:rPr>
          <w:color w:val="auto"/>
          <w:sz w:val="23"/>
        </w:rPr>
        <w:t>17.</w:t>
      </w:r>
    </w:p>
    <w:p w:rsidR="00FC5860" w:rsidRPr="00BE1BCD">
      <w:pPr>
        <w:spacing w:line="360" w:lineRule="auto"/>
        <w:jc w:val="left"/>
      </w:pPr>
      <w:r>
        <w:rPr>
          <w:rFonts w:ascii="宋体" w:eastAsia="宋体" w:hAnsi="宋体" w:cs="宋体"/>
          <w:color w:val="auto"/>
          <w:sz w:val="21"/>
        </w:rPr>
        <w:t>①积极意义：从经济与社会角度看，采用国际标准可以使我国企业更好地与国际市场接轨，减少贸易壁垒，利于产品进入国际市场，提升在国际竞争中的适应性。从当代国际政治与经济角度看，能一定程度上增强企业在国际市场上的认可度和竞争力。</w:t>
      </w:r>
    </w:p>
    <w:p w:rsidR="00FC5860" w:rsidRPr="00BE1BCD">
      <w:pPr>
        <w:spacing w:line="360" w:lineRule="auto"/>
        <w:jc w:val="left"/>
      </w:pPr>
      <w:r>
        <w:rPr>
          <w:rFonts w:ascii="宋体" w:eastAsia="宋体" w:hAnsi="宋体" w:cs="宋体"/>
          <w:color w:val="auto"/>
          <w:sz w:val="21"/>
        </w:rPr>
        <w:t>②不足：我国主导制定的国际标准占比低，过度依赖国际标准会使企业在国际竞争中处于被动地位，不利于掌握话语权和主动权。而且我国经济有自身特点和优势，完全采用国际标准可能会忽视国内市场的需求和特点。同时，我国企业还应积极加强自主创新，努力提升自身专利技术水平，推动高质量专利技术标准化，增加在标准制定中的话语权，而不是单纯依赖国际标准。并且要注重将国内标准与国际标准相结合，根据实际情况灵活运用，以更好地提升自身竞争力，实现自身的可持续发展。</w:t>
      </w:r>
    </w:p>
    <w:p w:rsidR="00FC5860" w:rsidRPr="00BE1BCD">
      <w:pPr>
        <w:spacing w:line="360" w:lineRule="auto"/>
        <w:jc w:val="left"/>
      </w:pPr>
      <w:r>
        <w:rPr>
          <w:rFonts w:ascii="宋体" w:eastAsia="宋体" w:hAnsi="宋体" w:cs="宋体"/>
          <w:color w:val="auto"/>
          <w:sz w:val="21"/>
        </w:rPr>
        <w:t xml:space="preserve"> ③综上所述，我国企业既要借鉴国际标准，又要注重自主创新和国内标准的发展，不能片面强调采用国际标准。</w:t>
      </w:r>
    </w:p>
    <w:p w:rsidR="00FC5860" w:rsidRPr="00BE1BCD">
      <w:pPr>
        <w:spacing w:line="360" w:lineRule="auto"/>
        <w:jc w:val="left"/>
      </w:pPr>
      <w:r>
        <w:rPr>
          <w:color w:val="auto"/>
          <w:sz w:val="23"/>
        </w:rPr>
        <w:t>18.</w:t>
      </w:r>
      <w:r w:rsidRPr="00BE1BCD">
        <w:t>（1）</w:t>
      </w:r>
    </w:p>
    <w:p w:rsidR="00FC5860" w:rsidRPr="00BE1BCD">
      <w:pPr>
        <w:spacing w:line="360" w:lineRule="auto"/>
        <w:jc w:val="left"/>
      </w:pPr>
      <w:r>
        <w:rPr>
          <w:color w:val="auto"/>
        </w:rPr>
        <w:t>①无效。该合同内容违反了法律的强制性规定。 ②支持。乙公司在类似商品上使用了与该村注册商标近似的商标,容易导致混淆，构成侵权。 ③无过错侵权责任。甲公司未举证证明自己行为与损害之间不存在因果关系，需承担不利后果。</w:t>
      </w:r>
      <w:r w:rsidRPr="00BE1BCD">
        <w:t xml:space="preserve">    </w:t>
      </w:r>
    </w:p>
    <w:p w:rsidR="00FC5860" w:rsidRPr="00BE1BCD">
      <w:pPr>
        <w:spacing w:line="360" w:lineRule="auto"/>
        <w:jc w:val="left"/>
      </w:pPr>
      <w:r w:rsidRPr="00BE1BCD">
        <w:t>（2）</w:t>
      </w:r>
      <w:r>
        <w:rPr>
          <w:color w:val="auto"/>
        </w:rPr>
        <w:t>保护耕地，推动土地有序流转；保护商标专用权，加强涉农知识产权保护；保护环境，促进农村可持续发展。</w:t>
      </w:r>
    </w:p>
    <w:p w:rsidR="00FC5860" w:rsidRPr="00BE1BCD">
      <w:pPr>
        <w:spacing w:line="360" w:lineRule="auto"/>
        <w:jc w:val="left"/>
      </w:pPr>
      <w:r>
        <w:rPr>
          <w:color w:val="auto"/>
          <w:sz w:val="23"/>
        </w:rPr>
        <w:t>19.</w:t>
      </w:r>
      <w:r w:rsidRPr="00BE1BCD">
        <w:t>（1）</w:t>
      </w:r>
      <w:r>
        <w:rPr>
          <w:color w:val="auto"/>
        </w:rPr>
        <w:t xml:space="preserve">遵循社会发展规律和坚持人民立场、作出正确的价值选择；发挥主观能动性，在砥砺自我中实现人生价值；投身为人民服务的实践、在劳动和奉献中实现人生价值。 “一辈子办成一件事”，要立志高远，将自身发展融入中华民族伟大复兴发展进程；要坚韧执着，努力提高自身素质成为所在领域的人才；要脚踏实地，在不同岗位上持续奋斗为社会发展贡献自身力量。 </w:t>
      </w:r>
      <w:r w:rsidRPr="00BE1BCD">
        <w:t xml:space="preserve">    </w:t>
      </w:r>
    </w:p>
    <w:p w:rsidR="00FC5860" w:rsidRPr="00BE1BCD">
      <w:pPr>
        <w:spacing w:line="360" w:lineRule="auto"/>
        <w:jc w:val="left"/>
      </w:pPr>
      <w:r w:rsidRPr="00BE1BCD">
        <w:t>（2）</w:t>
      </w:r>
      <w:r>
        <w:rPr>
          <w:color w:val="auto"/>
        </w:rPr>
        <w:t>真理之光照亮复兴之路      </w:t>
      </w:r>
    </w:p>
    <w:p w:rsidR="00FC5860" w:rsidRPr="00BE1BCD">
      <w:pPr>
        <w:spacing w:line="360" w:lineRule="auto"/>
        <w:jc w:val="left"/>
      </w:pPr>
      <w:r>
        <w:rPr>
          <w:color w:val="auto"/>
        </w:rPr>
        <w:t>真理的光芒，穿越历史时空，照亮理想征途。马克思主义以其自身的科学真理性，成为中国共产党的根本指导思想。一百多年来，中国共产党高举马克思主义旗帜，并把马克思主义基本原理同中国具体实际相结合，同中华优秀传统文化相结合，不断推进马克思主义中国化时代化，指引和带领中国人民取得新民主主义革命胜利，建立了新中国；完成了社会主义改造，建立起社会主义制度；推进改革开放，成功开创、坚持和发展了中国特色社会主义，中华民族迎来了从站起来、富起来到强起来的伟大飞跃。</w:t>
      </w:r>
    </w:p>
    <w:p w:rsidR="00FC5860" w:rsidRPr="00BE1BCD">
      <w:pPr>
        <w:spacing w:line="360" w:lineRule="auto"/>
        <w:jc w:val="left"/>
      </w:pPr>
      <w:r>
        <w:rPr>
          <w:color w:val="auto"/>
        </w:rPr>
        <w:t>走进新时代，汇聚磅礴伟力，开启新征程。党的十八大以来，中国特色社会主义进入新时代。我们党坚持和发展中国特色社会主义，坚定道路、制度、理论和文化自信，推进中国式现代化。并在深刻回答中国之问、世界之问、人民之问、时代之问的过程中，创立了习近平新时代中国特色社会主义思想，实现了马克思主义中国化时代化新的飞跃，汇聚起全面建设社会主义现代化强国的磅礴伟力，成为照亮实现中华民族伟大复兴的真理之光。</w:t>
      </w:r>
    </w:p>
    <w:sectPr w:rsidSect="00C321EB">
      <w:headerReference w:type="default" r:id="rId6"/>
      <w:footerReference w:type="default" r:id="rId7"/>
      <w:pgSz w:w="11906" w:h="16838"/>
      <w:pgMar w:top="910" w:right="1080" w:bottom="1440" w:left="108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00000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78E" w:rsidP="0090278E">
    <w:pPr>
      <w:jc w:val="center"/>
    </w:pPr>
    <w:r>
      <w:t>第</w:t>
    </w:r>
    <w:r>
      <w:fldChar w:fldCharType="begin"/>
    </w:r>
    <w:r>
      <w:instrText>PAGE</w:instrText>
    </w:r>
    <w:r>
      <w:fldChar w:fldCharType="separate"/>
    </w:r>
    <w:r w:rsidR="00657AA5">
      <w:rPr>
        <w:noProof/>
      </w:rPr>
      <w:t>1</w:t>
    </w:r>
    <w:r>
      <w:fldChar w:fldCharType="end"/>
    </w:r>
    <w:r>
      <w:t>页/共</w:t>
    </w:r>
    <w:r>
      <w:fldChar w:fldCharType="begin"/>
    </w:r>
    <w:r>
      <w:instrText>NUMPAGES</w:instrText>
    </w:r>
    <w:r>
      <w:fldChar w:fldCharType="separate"/>
    </w:r>
    <w:r w:rsidR="00657AA5">
      <w:rPr>
        <w:noProof/>
      </w:rPr>
      <w:t>1</w:t>
    </w:r>
    <w:r>
      <w:fldChar w:fldCharType="end"/>
    </w:r>
    <w:r>
      <w:t>页</w:t>
    </w:r>
  </w:p>
  <w:p w:rsidR="0090278E">
    <w:pPr>
      <w:pStyle w:val="Footer"/>
    </w:pPr>
  </w:p>
  <w:p w:rsidR="004151FC"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3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4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cs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1D5" w:rsidP="002908F0">
    <w:pPr>
      <w:pStyle w:val="Header"/>
      <w:pBdr>
        <w:bottom w:val="none" w:sz="0" w:space="0" w:color="auto"/>
      </w:pBd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2049" type="#_x0000_t75" style="width:56.7pt;height:22.7pt;mso-wrap-distance-bottom:0;mso-wrap-distance-left:0;mso-wrap-distance-right:0;mso-wrap-distance-top:0">
          <v:imagedata r:id="rId1" o:title=""/>
          <o:lock v:ext="edit" aspectratio="t"/>
        </v:shape>
      </w:pict>
    </w:r>
    <w:r w:rsidR="00016BFA">
      <w:t xml:space="preserve"> </w:t>
    </w:r>
    <w:r>
      <w:t xml:space="preserve"> </w:t>
    </w:r>
    <w:r>
      <w:rPr>
        <w:noProof/>
      </w:rPr>
      <w:pict>
        <v:shape id="图片 1" o:spid="_x0000_i2050" type="#_x0000_t75" alt="C:\Users\0\Documents\Tencent Files\804397265\Image\C2C\Image3\$_Z{R_2L8%1DU0RC6ZU7{4C.png" style="width:57.25pt;height:22.7pt;mso-wrap-distance-bottom:0;mso-wrap-distance-left:0;mso-wrap-distance-right:0;mso-wrap-distance-top:0" filled="f" stroked="f">
          <v:imagedata r:id="rId2" o:title=""/>
          <o:lock v:ext="edit" aspectratio="t"/>
        </v:shape>
      </w:pict>
    </w:r>
    <w:r w:rsidR="002908F0">
      <w:t xml:space="preserve"> </w:t>
    </w: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cs="Times New Roman"/>
        <w:kern w:val="0"/>
        <w:sz w:val="2"/>
        <w:szCs w:val="2"/>
      </w:rPr>
    </w:pPr>
    <w:r>
      <w:pict>
        <v:shape id="图片 4" o:spid="_x0000_s2051" type="#_x0000_t75" alt="学科网 zxxk.com" style="width:0.75pt;height:0.75pt;margin-top:8.45pt;margin-left:351pt;position:absolute;z-index:251658240" filled="f" stroked="f">
          <v:imagedata r:id="rId3" r:href="rId4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2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F473A"/>
    <w:multiLevelType w:val="hybridMultilevel"/>
    <w:tmpl w:val="8312AF28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50C9E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57AA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25705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semiHidden="0" w:uiPriority="0" w:unhideWhenUsed="0"/>
    <w:lsdException w:name="Table Theme" w:uiPriority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眉 Char"/>
    <w:basedOn w:val="DefaultParagraphFont"/>
    <w:link w:val="Header"/>
    <w:uiPriority w:val="99"/>
    <w:rsid w:val="003102DB"/>
    <w:rPr>
      <w:kern w:val="2"/>
      <w:sz w:val="18"/>
      <w:szCs w:val="24"/>
    </w:rPr>
  </w:style>
  <w:style w:type="paragraph" w:styleId="NoSpacing">
    <w:name w:val="No Spacing"/>
    <w:uiPriority w:val="1"/>
    <w:qFormat/>
    <w:rsid w:val="003102DB"/>
    <w:rPr>
      <w:rFonts w:ascii="Calibri" w:eastAsia="Microsoft YaHei UI" w:hAnsi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6076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EA0188"/>
    <w:pPr>
      <w:ind w:firstLine="420" w:firstLineChars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pixelsPerInch w:val="144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media/image3.png" /><Relationship Id="rId3" Type="http://schemas.openxmlformats.org/officeDocument/2006/relationships/image" Target="media/image4.png" /><Relationship Id="rId4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07460-9DFB-479F-8EE5-A34246482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>学科网 www.zxxk.com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学科网试题生产平台</dc:creator>
  <dc:description>3520718051966976</dc:description>
  <cp:lastModifiedBy>学科网试题生产平台</cp:lastModifiedBy>
  <cp:revision>9</cp:revision>
  <dcterms:created xsi:type="dcterms:W3CDTF">2025-04-11T17:20:23Z</dcterms:created>
  <dcterms:modified xsi:type="dcterms:W3CDTF">2025-04-11T17:20:23Z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