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Подход к разработке дизайн проекта</w:t>
      </w:r>
    </w:p>
    <w:p>
      <w:r>
        <w:rPr>
          <w:sz w:val="18"/>
        </w:rPr>
        <w:t>Абалаков Павел Альбертович  |  Радио — MTC ENGINEER HACK</w:t>
      </w:r>
    </w:p>
    <w:p>
      <w:r>
        <w:t>Дальнейшее проектирование должно проверить, можно ли реализовать расчётную конфигурацию МТС: DCS-1800 — 1 сектор и 2 TRX; LTE-1800/2100/2600 — 25 секторов, MIMO 2×2. Требуемый DL-трафик — 2304 Мбит/с. Сейчас определена ёмкостная модель; размещение, трассы, мощности и карты покрытия не выполнены.</w:t>
      </w:r>
    </w:p>
    <w:p>
      <w:pPr>
        <w:pStyle w:val="Heading1"/>
      </w:pPr>
      <w:r>
        <w:t>Исходные материалы для проектирования</w:t>
      </w:r>
    </w:p>
    <w:p>
      <w:r>
        <w:t>Запросить масштабные CAD/BIM-планировки одного этажа: габариты, высоты, помещения, атриумы, витрины, фудкорт, арендаторы, технические зоны, стены и материалы. Получить положение аппаратной ВК, лотков и допустимых потолочных трасс, места проходок, ограничения монтажа и доступа, электропитание, заземление, охлаждение и транспорт до сети операторов. Разделить обязательную обслуживаемую площадь и исключения; площадь для проверки процентов KPI согласовать до моделирования.</w:t>
      </w:r>
    </w:p>
    <w:p>
      <w:r>
        <w:t>Уточнить пространственное распределение присутствующих и активных UE в ЧНН, будущий рост, профили данных, статистику CQI/RI и возможности терминалов, голосовые попытки, SMS и регистрации. Для каждого из трёх операторов нужны собственные технологии, полосы/частоты, мощности на портах, число секторов, требования к интерфейсам и мониторингу. Нагрузки остальных операторов не выводить из оставшихся 40% и не делить поровну.</w:t>
      </w:r>
    </w:p>
    <w:p>
      <w:r>
        <w:t>Запросить параметры окружающей macro-сети для прогноза помех: EARFCN/ARFCN, PCI/BSIC, мощности и диаграммы, соседства, настройки handover, внешнее проникновение через фасады. ТЗ требует проект без физического обследования: исходная модель строится по планам и паспортным данным; при отсутствии измерений влияние внешней сети проверяется сценариями. После монтажа планируются приёмочные измерения.</w:t>
      </w:r>
    </w:p>
    <w:p>
      <w:pPr>
        <w:pStyle w:val="Heading1"/>
      </w:pPr>
      <w:r>
        <w:t>Архитектура DAS и противоречие ТЗ</w:t>
      </w:r>
    </w:p>
    <w:p>
      <w:r>
        <w:t>В ТЗ система названа пассивной, но удалённые модули должны дистанционно менять распределение мощности между технологиями одного диапазона независимо от полосы оператора. Пассивные фидеры, делители и ответвители такой функции сами не выполняют. Ссылку на KPI в строке «Мониторинг и управление» нельзя считать полноценным заданием системы управления.</w:t>
      </w:r>
    </w:p>
    <w:p>
      <w:r>
        <w:t>Базовая ветвь: операторские БС/радиомодули в аппаратной → точки объединения и развязки POI → независимые пассивные ветви LTE-секторов → двухпортовые антенны. Две MIMO-цепи сохраняются отдельно; сигналы одного физического LTE-сектора можно раздать нескольким антеннам, но новые секторы от этого не появляются. DCS-сигнал одного сектора распределяется на весь объект через выделенную сеть либо частотное объединение с LTE при допустимых потерях и развязке.</w:t>
      </w:r>
    </w:p>
    <w:p>
      <w:r>
        <w:t>При обязательном буквальном исполнении регулировки на удалённых модулях рассмотреть гибридную/активную DAS: головной узел → цифровой/оптический транспорт → управляемые удалённые модули → короткие пассивные ветви. Нужны отдельные регулируемые каналы DCS и LTE в 1800, а не только общая регулировка диапазона. Изменение мощности каждой технологии проверить независимо при разных полосах и входных уровнях. Это архитектурная альтернатива, а не подтверждённое соответствие пассивной схеме.</w:t>
      </w:r>
    </w:p>
    <w:p>
      <w:pPr>
        <w:spacing w:after="40"/>
      </w:pPr>
      <w:r>
        <w:rPr>
          <w:sz w:val="17"/>
        </w:rPr>
        <w:t xml:space="preserve">Первичные источники (ссылки): </w:t>
      </w:r>
      <w:hyperlink r:id="rId10">
        <w:r>
          <w:rPr>
            <w:color w:val="17558B"/>
            <w:sz w:val="17"/>
          </w:rPr>
          <w:t>Rosenberger — состав Passive DAS Solutions</w:t>
        </w:r>
      </w:hyperlink>
      <w:r>
        <w:rPr>
          <w:sz w:val="17"/>
        </w:rPr>
        <w:t xml:space="preserve">; </w:t>
      </w:r>
      <w:hyperlink r:id="rId11">
        <w:r>
          <w:rPr>
            <w:color w:val="17558B"/>
            <w:sz w:val="17"/>
          </w:rPr>
          <w:t>CommScope DAS — интерфейсы цифровой DAS</w:t>
        </w:r>
      </w:hyperlink>
      <w:r>
        <w:rPr>
          <w:sz w:val="17"/>
        </w:rPr>
        <w:t>.</w:t>
      </w:r>
    </w:p>
    <w:p>
      <w:r>
        <w:br w:type="page"/>
      </w:r>
    </w:p>
    <w:p>
      <w:pPr>
        <w:pStyle w:val="Heading1"/>
      </w:pPr>
      <w:r>
        <w:t>Антенны трассы и радиобюджет</w:t>
      </w:r>
    </w:p>
    <w:p>
      <w:pPr>
        <w:pStyle w:val="Heading1"/>
      </w:pPr>
      <w:r>
        <w:t>Секторизация и MIMO</w:t>
      </w:r>
    </w:p>
    <w:p>
      <w:r>
        <w:t>Сначала выделить зоны по спросу и естественным границам помещений. 25 LTE-секторов на 2100 м² означали бы в среднем 84 м²/сектор; эта величина показывает плотность, а не задаёт реальные зоны. Открытое пространство может не позволить обеспечить независимость всех секторов. Если нужная изоляция недостижима, пересмотреть архитектуру, число секторов, распределение полос или модель одновременности; не объявлять KPI выполненными только по сумме ёмкостей.</w:t>
      </w:r>
    </w:p>
    <w:p>
      <w:r>
        <w:t>Выбирать потолочные всенаправленные антенны для изолированных помещений и направленные — для ограничения утечки на границах. Число антенн определяется радиобюджетом и геометрией, а не равно числу секторов. Проверить диаграммы и усиление отдельно по частотам; ширину полос, поляризацию, высоту, влияние металлических потолков и близких препятствий. Для 2×2 — два независимых RF-тракта от БС до двух портов антенны либо пространственно разнесённых антенн; проверить развязку, баланс потерь и корреляцию. Разветвление одного RF-порта на две антенны не создаёт MIMO.</w:t>
      </w:r>
    </w:p>
    <w:p>
      <w:r>
        <w:t>Назначить LTE EARFCN и PCI, соседства и handover; повторное использование каждой несущей планировать с учётом межсекторной интерференции и полной ЧНН-нагрузки. Не объединять в общий RF-тракт разные LTE-секторы одной частоты. GSM оставить одной логической ячейкой с двумя TRX; выбирать BCCH и TCH ARFCN по внешней и внутрисистемной помеховой обстановке. Общий GSM-пул сохраняется при раздаче одной ячейки на несколько антенн.</w:t>
      </w:r>
    </w:p>
    <w:p>
      <w:pPr>
        <w:pStyle w:val="Heading1"/>
      </w:pPr>
      <w:r>
        <w:t>Трассы и баланс потерь</w:t>
      </w:r>
    </w:p>
    <w:p>
      <w:r>
        <w:t>Фидеры прокладывать по существующим/планируемым лоткам; вне них — по потолку по кратчайшему допустимому пути. Межэтажные переходы из общего шаблона ТЗ для одноэтажного объекта не требуются, если нет вынесенной аппаратной. Для каждого участка задать длину, тип кабеля, частотное затухание, соединители и проходки; отметить маркировку, радиусы изгиба, пожарные требования и доступ для обслуживания.</w:t>
      </w:r>
    </w:p>
    <w:p>
      <w:r>
        <w:t>Потери ветви Lветв(f) = Σαₗ(f)·lₗ + ΣLкомп(f), дБ. В Lкомп включаются POI, фильтры, делители, ответвители и соединители. Для равного делителя учитывать 10·log₁₀(n) плюс дополнительные потери лишь тогда, когда они не включены в паспортное значение. Для ответвителя считать отдельно проходной и ответвлённый пути. Паспортные потери брать для конкретной частоты и порта; избегать повторного вычитания одного компонента.</w:t>
      </w:r>
    </w:p>
    <w:p>
      <w:pPr>
        <w:pStyle w:val="Heading1"/>
      </w:pPr>
      <w:r>
        <w:t>Мощность DL и проверка UL</w:t>
      </w:r>
    </w:p>
    <w:p>
      <w:r>
        <w:t>EIRP(f) = Pпорт(f) − Lветв(f) + Gант(f), дБм; Pприём = EIRP − Lраспр − Lдоп + GUE. Для DCS считать мощность BCCH несущей, для LTE — мощность CRS на RE, а не полную мощность несущей. При равномерном спектре и отсутствии boost оценка P_CRS,RE ≈ Pпорт,ветвь − 10·log₁₀(12·N_PRB); затем применяются реальные настройки CRS/PA/PB и число портов. RSRP определяется по reference signals, RSRQ учитывает RSSI и загрузку; определения — TS 36.214.</w:t>
      </w:r>
    </w:p>
    <w:p>
      <w:r>
        <w:t>UL считать отдельно: максимальная/управляемая мощность UE, его антенна, потери стен и пассивной ветви, шумовая фигура приёмника, требуемый SINR и margin. Тепловой шум N = −174 + 10·log₁₀(B, Гц) + NF, дБм; SINR вычислять по сумме помех и шума в линейных мощностях. Большое усиление DL не устраняет ограничение UL. Требуемую мощность на портах находить из худшей ветви; проверить суммарные мощности всех операторов, нагрев, линейность и PIM.</w:t>
      </w:r>
    </w:p>
    <w:p>
      <w:pPr>
        <w:spacing w:after="40"/>
      </w:pPr>
      <w:r>
        <w:rPr>
          <w:sz w:val="17"/>
        </w:rPr>
        <w:t xml:space="preserve">Первичные источники (ссылки): </w:t>
      </w:r>
      <w:hyperlink r:id="rId12">
        <w:r>
          <w:rPr>
            <w:color w:val="17558B"/>
            <w:sz w:val="17"/>
          </w:rPr>
          <w:t>36.214 — §5, V17.0.0, RSRP и RSRQ</w:t>
        </w:r>
      </w:hyperlink>
      <w:r>
        <w:rPr>
          <w:sz w:val="17"/>
        </w:rPr>
        <w:t xml:space="preserve">; </w:t>
      </w:r>
      <w:hyperlink r:id="rId13">
        <w:r>
          <w:rPr>
            <w:color w:val="17558B"/>
            <w:sz w:val="17"/>
          </w:rPr>
          <w:t>RFS — паспортные параметры пассивных элементов</w:t>
        </w:r>
      </w:hyperlink>
      <w:r>
        <w:rPr>
          <w:sz w:val="17"/>
        </w:rPr>
        <w:t>.</w:t>
      </w:r>
    </w:p>
    <w:p>
      <w:r>
        <w:br w:type="page"/>
      </w:r>
    </w:p>
    <w:p>
      <w:pPr>
        <w:pStyle w:val="Heading1"/>
      </w:pPr>
      <w:r>
        <w:t>Моделирование проверка KPI и результаты проекта</w:t>
      </w:r>
    </w:p>
    <w:p>
      <w:r>
        <w:t>Построить модель в indoor-инструменте радиопланирования: масштаб, материалы и толщины стен, высоты, диаграммы антенн, реальные потери и мощности на портах. Затухание материалов задавать отдельно по 1800/2100/2600; значения из справочника ПО или производителя маркировать как внешние данные и проверять диапазоном чувствительности. Название ПО само по себе не подтверждает достоверность модели.</w:t>
      </w:r>
    </w:p>
    <w:p>
      <w:r>
        <w:t>Сначала проверить покрытие каждой выбранной технологии, затем Best Server и межсекторные границы, затем SINR/RSRQ при ЧНН с внешними и внутренними помехами. Нужны сценарии низкой и высокой нагрузки, worst-case внешнего проникновения, перекоса спроса и ухудшения MIMO. Матрицу спроса UE формировать отдельно от карты площади: площадь с SINR ≥17 не автоматически содержит 40% пользователей.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835"/>
        <w:gridCol w:w="521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Критерий из ТЗ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Как проверить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DCS BCCH RxLev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&gt; −85 дБм на ≥95% площади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Карта уровня BCCH и площадь ячеек выше порога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DCS C/I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&gt; 20 дБ на ≥95% площади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Сумма co-channel/adjacent помех по плану частот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LTE RSRP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&gt; −90 дБм на ≥95% площади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Карты по несущим и обслуживающей ячейке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LTE RSRQ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&gt; −12 дБ на ≥80% площади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RSSI с заданной ЧНН-загрузкой и внешними помехами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LTE SINR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≥17/7/1 на ≥40/80/95%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Единицы дБ приняты; три кумулятивные проверки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LTE DL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8 Мбит/с каждому активному UE в ЧНН</w:t>
            </w:r>
          </w:p>
        </w:tc>
        <w:tc>
          <w:tcPr>
            <w:tcW w:type="dxa" w:w="52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Распределение UE, CQI/RI, HARQ, планировщик и транспорт</w:t>
            </w:r>
          </w:p>
        </w:tc>
      </w:tr>
    </w:tbl>
    <w:p>
      <w:pPr>
        <w:spacing w:after="0"/>
      </w:pPr>
    </w:p>
    <w:p>
      <w:r>
        <w:t>Доля прошедшей площади = Σaᵢ·I(KPIᵢ)/Σaᵢ; aᵢ — площадь расчётной ячейки, исключения фиксируются заранее. «&gt;» для уровней и C/I сохраняется строгим; запись SINR «=&gt;» трактуется как «≥». Пороговые проценты SINR вложены друг в друга и не складываются. Единицы SINR в документе отсутствуют: принятие дБ отметить в проекте; линейное чтение соответствовало бы 12,30/8,45/0 дБ и потребовало бы другой проверки покрытия. Требование скорости не имеет заданного пространственного процента — ограничивать его 95% без согласования нельзя.</w:t>
      </w:r>
    </w:p>
    <w:p>
      <w:pPr>
        <w:pStyle w:val="Heading1"/>
      </w:pPr>
      <w:r>
        <w:t>Проверка емкости на реальном плане</w:t>
      </w:r>
    </w:p>
    <w:p>
      <w:r>
        <w:t>Для каждого сектора проверить плановый максимум ⌈1,10 × 288/25⌉ = 13 UE и распределение 6/4/3 по LTE-1800/2100/2600. Заменить модельную η = 3,1505922 фактической оценкой затрат ресурсов по CQI/RI каждого UE; проверить среднюю скорость, пользователей с низким CQI и невозможность перемещения несовместимых UE на нужную полосу. Суммарные 2835,53 Мбит/с — расчётная полезная радиоемкость, а не достаточная пропускная способность транспорта или гарантия всех пользователей.</w:t>
      </w:r>
    </w:p>
    <w:p>
      <w:r>
        <w:t>Без CA проверить каждый отдельный пул; при подтверждённой CA B1/B3/B7 вариант 23 сектора проверяется отдельно. Для DCS дополнительно проверить BCCH-помехи, SDCCH/CCCH, повторные попытки и фактические блокировки; 1,1421% — расчёт только TCH при A = 7,5 Эрл. Для двух других операторов выполнить собственные расчёты после получения их данных.</w:t>
      </w:r>
    </w:p>
    <w:p>
      <w:pPr>
        <w:pStyle w:val="Heading1"/>
      </w:pPr>
      <w:r>
        <w:t>Итоговые материалы и приемочная проверка</w:t>
      </w:r>
    </w:p>
    <w:p>
      <w:r>
        <w:t>Результатом следующего этапа будут схемы соединения оборудования, секторизации и подключения передатчиков БС к головным узлам/POI; планы антенн и трасс с идентификаторами; таблицы потерь, мощностей и UL/DL-бюджетов; карты DCS Signal strength и C/I, LTE RSRP/RSRQ/SINR/Best Server; матрица ёмкости и ведомость проверки KPI. Каждое число привязать к версии плана, источнику и настройкам нагрузки.</w:t>
      </w:r>
    </w:p>
    <w:p>
      <w:r>
        <w:t>После установки: измерения потерь и return loss/VSWR, развязки, PIM, непрерывности MIMO-трактов, калибровка мощностей; walk-test уровней и качества; голосовые и нагрузочные DL-тесты в ЧНН. Сопоставить измерения с моделью и выполнить настройку. На онлайн-этапе эти схемы, карты и результаты измерений не создаются и не выдаются за выполненный дизайн-проект.</w:t>
      </w:r>
    </w:p>
    <w:sectPr w:rsidR="00FC693F" w:rsidRPr="0006063C" w:rsidSect="00034616">
      <w:footerReference w:type="default" r:id="rId9"/>
      <w:pgSz w:w="11906" w:h="16838"/>
      <w:pgMar w:top="822" w:right="992" w:bottom="822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ТРК Эльбрус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rosenberger.com/news-events/news/new-site-solutions-catalogues/" TargetMode="External"/><Relationship Id="rId11" Type="http://schemas.openxmlformats.org/officeDocument/2006/relationships/hyperlink" Target="https://www.commscope.com/blog/2015/the-3-most-common-misconceptions-about-digital-das/" TargetMode="External"/><Relationship Id="rId12" Type="http://schemas.openxmlformats.org/officeDocument/2006/relationships/hyperlink" Target="https://www.etsi.org/deliver/etsi_ts/136200_136299/136214/17.00.00_60/ts_136214v170000p.pdf" TargetMode="External"/><Relationship Id="rId13" Type="http://schemas.openxmlformats.org/officeDocument/2006/relationships/hyperlink" Target="https://www.rfstechnologies.com/articles/brochure/download/passive-das-selection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Подход к разработке дизайн проекта</dc:title>
  <dc:subject>Радио — MTC ENGINEER HACK • онлайн-этап • ТРК Эльбрус</dc:subject>
  <dc:creator>Абалаков Павел Альбертович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