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Подход к подбору оборудования</w:t>
      </w:r>
    </w:p>
    <w:p>
      <w:r>
        <w:rPr>
          <w:sz w:val="18"/>
        </w:rPr>
        <w:t>Абалаков Павел Альбертович  |  Радио — MTC ENGINEER HACK</w:t>
      </w:r>
    </w:p>
    <w:p>
      <w:r>
        <w:t>Подбор начинается после проверки дизайн-проекта и архитектуры. Расчётный ориентир МТС: один DCS-1800 сектор с двумя TRX; 25 LTE-секторов по несущей 20 МГц B3, 15 МГц B1 и 10 МГц B7 в каждом; MIMO 2×2. Приведён подход к выбору групп и проверке параметров, а не готовая спецификация.</w:t>
      </w:r>
    </w:p>
    <w:p>
      <w:pPr>
        <w:pStyle w:val="Heading1"/>
      </w:pPr>
      <w:r>
        <w:t>Группы оборудования и критерии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7313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Группа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shd w:fill="E7EBEF"/>
          </w:tcPr>
          <w:p>
            <w:pPr>
              <w:spacing w:after="0" w:before="0" w:line="240" w:lineRule="auto"/>
            </w:pPr>
            <w:r>
              <w:rPr>
                <w:b/>
                <w:sz w:val="19"/>
              </w:rPr>
              <w:t>Что проверить перед выбором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БС и радиомодули операторов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GSM TRX и LTE FDD B1/B3/B7; 75 LTE-секторных несущих; MIMO-порты, лицензии, scheduler, CE/baseband, транспорт; мощность на порт и возможность настройки CRS. Число аппаратных блоков зависит от платформы.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POI и объединение операторов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Три операторских интерфейса с независимыми UL/DL и двумя LTE MIMO-цепями; выделенные пути каждого сектора; insertion loss, развязка, уровни входа, фильтрация и согласование. Общий усилитель/путь не должен смешивать разные co-channel сектора.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Пассивная RF-сеть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Частотные комбайнеры, фильтры, делители, ответвители, аттенюаторы и нагрузки; диапазоны UL/DL, паспортные потери каждого пути, VSWR/return loss, isolation, средняя и пиковая мощность, PIM.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Фидеры и соединители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Затухание по частотам и длинам, тип 50 Ом, экранирование, разъёмы, изгиб и монтажный момент, пожарное исполнение и допустимая мощность; согласованность двух MIMO-ветвей.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Indoor-антенны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B1/B3/B7 и DCS UL/DL, двухпортовое 2×2 MIMO, поляризация, диаграммы/усиление по полосам, port isolation, correlation, VSWR, PIM, крепление и габариты.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Управляемая DAS при необходимости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Головной/удалённые узлы, оптика и питание, полезная транспортная ёмкость, EVM, NF, задержка, число секторов, независимое регулирование технологий, алармы и лицензии.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Инфраструктура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Стойки, питание/резервирование, заземление, охлаждение, лотки и проходки, управление, мониторинг и измерительные средства; круглосуточная работа без постоянного персонала.</w:t>
            </w:r>
          </w:p>
        </w:tc>
      </w:tr>
    </w:tbl>
    <w:p>
      <w:pPr>
        <w:spacing w:after="0"/>
      </w:pPr>
    </w:p>
    <w:p>
      <w:pPr>
        <w:pStyle w:val="Heading1"/>
      </w:pPr>
      <w:r>
        <w:t>Полосы и подключение трех операторов</w:t>
      </w:r>
    </w:p>
    <w:p>
      <w:r>
        <w:t>Пассивные элементы должны пропускать нужные UL и DL поддиапазоны: B3/DCS 1710–1785 и 1805–1880 МГц; B1 1920–1980 и 2110–2170; B7 2500–2570 и 2620–2690 [1, 2]. Полная поддержка этих полос нужна для готовности к трём операторам; количественная ёмкость МТС считается только по 20/15/10 МГц. «22 GSM» используется как доступность частот, а не число требуемых TRX.</w:t>
      </w:r>
    </w:p>
    <w:p>
      <w:r>
        <w:t>До спецификации получить матрицу трёх операторов: технологии, выделенные полосы и ARFCN/EARFCN, мощности, число секторов, MIMO и точки подключения. Предусмотреть места/порты POI и возможность расширения, но не рассчитывать мощности и нагрузки неизвестных операторов по предположению. Проверить межоператорскую развязку и отсутствие взаимного влияния регуляторов; независимо согласовать GSM и LTE в 1800.</w:t>
      </w:r>
    </w:p>
    <w:p>
      <w:pPr>
        <w:spacing w:after="40"/>
      </w:pPr>
      <w:r>
        <w:rPr>
          <w:sz w:val="17"/>
        </w:rPr>
        <w:t xml:space="preserve">Первичные источники (ссылки): </w:t>
      </w:r>
      <w:hyperlink r:id="rId10">
        <w:r>
          <w:rPr>
            <w:color w:val="17558B"/>
            <w:sz w:val="17"/>
          </w:rPr>
          <w:t>45.005 — [1] §2, DCS</w:t>
        </w:r>
      </w:hyperlink>
      <w:r>
        <w:rPr>
          <w:sz w:val="17"/>
        </w:rPr>
        <w:t xml:space="preserve">; </w:t>
      </w:r>
      <w:hyperlink r:id="rId11">
        <w:r>
          <w:rPr>
            <w:color w:val="17558B"/>
            <w:sz w:val="17"/>
          </w:rPr>
          <w:t>36.104 — [2] табл. 5.5-1, LTE</w:t>
        </w:r>
      </w:hyperlink>
      <w:r>
        <w:rPr>
          <w:sz w:val="17"/>
        </w:rPr>
        <w:t xml:space="preserve">; </w:t>
      </w:r>
      <w:hyperlink r:id="rId12">
        <w:r>
          <w:rPr>
            <w:color w:val="17558B"/>
            <w:sz w:val="17"/>
          </w:rPr>
          <w:t>Rosenberger — группы пассивных компонентов</w:t>
        </w:r>
      </w:hyperlink>
      <w:r>
        <w:rPr>
          <w:sz w:val="17"/>
        </w:rPr>
        <w:t>.</w:t>
      </w:r>
    </w:p>
    <w:p>
      <w:r>
        <w:br w:type="page"/>
      </w:r>
    </w:p>
    <w:p>
      <w:pPr>
        <w:pStyle w:val="Heading1"/>
      </w:pPr>
      <w:r>
        <w:t>Проверка оборудования и подготовка спецификации</w:t>
      </w:r>
    </w:p>
    <w:p>
      <w:pPr>
        <w:pStyle w:val="Heading1"/>
      </w:pPr>
      <w:r>
        <w:t>Мощность потери развязка и PIM</w:t>
      </w:r>
    </w:p>
    <w:p>
      <w:r>
        <w:t>Для каждой позиции использовать паспорт именно выбранной модификации: диапазон, insertion/coupling loss, port isolation, return loss, мощность и условия PIM. Потери переносить в проект по частоте и пути; MIMO-ветви рассчитывать раздельно. Мощность БС выбирается из радиобюджета худшей ветви и проверяется одновременно с UL. Избыточная DL-мощность увеличивает утечку и помехи соседним секторам.</w:t>
      </w:r>
    </w:p>
    <w:p>
      <w:r>
        <w:t>Суммарная средняя мощность на общем элементе PΣ = 10·log₁₀(Σ10^(Pᵢ/10)), дБм. Отдельно проверить пики OFDM, back-off/линейность, мощность каждого порта, аттенюатора и нагрузки, нагрев и допустимые входы удалённых модулей. Мощности разных операторов складываются в линейных единицах; их неизвестные уровни отмечаются как незакрытые данные, а не заменяются паспортным максимумом МТС.</w:t>
      </w:r>
    </w:p>
    <w:p>
      <w:r>
        <w:t>Не задавать универсальную развязку без расчёта: определить допустимую утечку из блокирования/интермодуляции приёмников и бюджета помех; сравнить требуемую развязку с паспортом POI и фильтров. Для каждой пары портов рассчитать уровни на входах других операторов и технологий. Проверить сочетания GSM/LTE-1800, LTE-2100/2600 и внешней macro-сети.</w:t>
      </w:r>
    </w:p>
    <w:p>
      <w:r>
        <w:t>PIM проверять для всех частот операторов: комбинации mf₁ ± nf₂, прежде всего третьего порядка 2f₁−f₂/2f₂−f₁, и попадание продуктов в UL. Паспортный PIM сравнивать при одинаковых тестовых тонах, мощностях и единицах дБм/дБс. Значение дБс без уровня теста недостаточно; требования выводятся из UL-бюджета и требований операторов, а не заимствуются как универсальное число. Проверять всю собранную сеть, включая соединители и антенны; соблюдать монтажные моменты и чистоту контактов [3].</w:t>
      </w:r>
    </w:p>
    <w:p>
      <w:pPr>
        <w:pStyle w:val="Heading1"/>
      </w:pPr>
      <w:r>
        <w:t>Управление и терминалы</w:t>
      </w:r>
    </w:p>
    <w:p>
      <w:r>
        <w:t>Для строго пассивной DAS управление мощностью реализуется на источниках в аппаратной; буквальное требование удалённых управляемых модулей остаётся несоответствием. Для гибридной/активной ветви запросить демонстрацию независимого перераспределения DCS/LTE в 1800 при разных ширинах полос, журналирование, удалённые алармы и восстановление после отказа. Регулятор общей мощности диапазона не равнозначен требуемой функции. Интерфейс CPRI внутри DAS не гарантирует совместимость с конкретной БС — она подтверждается отдельно [4].</w:t>
      </w:r>
    </w:p>
    <w:p>
      <w:r>
        <w:t>Основная конфигурация 25 LTE-секторов не требует CA, но предполагает поддержку B1/B3/B7 активными UE и распределение 6/4/3. Для оптимизации до 23 нужны конкретное сочетание CA, допустимые полосы, MIMO и категории UE, настройки БС и доля совместимых терминалов [5]. Если часть UE поддерживает только B3, проверить её собственную нагрузку на B3; оставшиеся полосы ей ёмкость автоматически не добавляют.</w:t>
      </w:r>
    </w:p>
    <w:p>
      <w:pPr>
        <w:pStyle w:val="Heading1"/>
      </w:pPr>
      <w:r>
        <w:t>Порядок формирования ведомости</w:t>
      </w:r>
    </w:p>
    <w:p>
      <w:r>
        <w:t>После утверждения схемы составить матрицу «требование → расчёт проекта → параметр паспорта → подтверждение». Сопоставить число секторов и несущих с RF-портами, baseband и лицензиями; число антенн и ветвей — с планом, длины фидеров — с трассами. Для каждой позиции указать назначение, интерфейсы, вариант исполнения, паспорт, количество и основание. Количества антенн, кабелей, делителей и удалённых модулей сейчас не назначаются.</w:t>
      </w:r>
    </w:p>
    <w:p>
      <w:r>
        <w:t>Затем выполнить проверку полного тракта: частотная совместимость трёх операторов, потери/мощность, MIMO, развязка, PIM, линейность, питание и мониторинг. Утвердить программу приёмки: паспортная проверка, измерения потерь/VSWR/PIM, тест управления и нагрузочные KPI. Итог следующего этапа — проверенная спецификация с резервами, совместимыми заменами и привязкой к проекту; на онлайн-этапе предоставляется только этот подход.</w:t>
      </w:r>
    </w:p>
    <w:p>
      <w:pPr>
        <w:spacing w:after="40"/>
      </w:pPr>
      <w:r>
        <w:rPr>
          <w:sz w:val="17"/>
        </w:rPr>
        <w:t xml:space="preserve">Первичные источники (ссылки): </w:t>
      </w:r>
      <w:hyperlink r:id="rId13">
        <w:r>
          <w:rPr>
            <w:color w:val="17558B"/>
            <w:sz w:val="17"/>
          </w:rPr>
          <w:t>RFS — паспортные потери, мощность, PIM</w:t>
        </w:r>
      </w:hyperlink>
      <w:r>
        <w:rPr>
          <w:sz w:val="17"/>
        </w:rPr>
        <w:t xml:space="preserve">; </w:t>
      </w:r>
      <w:hyperlink r:id="rId14">
        <w:r>
          <w:rPr>
            <w:color w:val="17558B"/>
            <w:sz w:val="17"/>
          </w:rPr>
          <w:t>CommScope PIM — [3] влияние PIM на DAS</w:t>
        </w:r>
      </w:hyperlink>
      <w:r>
        <w:rPr>
          <w:sz w:val="17"/>
        </w:rPr>
        <w:t xml:space="preserve">; </w:t>
      </w:r>
      <w:hyperlink r:id="rId15">
        <w:r>
          <w:rPr>
            <w:color w:val="17558B"/>
            <w:sz w:val="17"/>
          </w:rPr>
          <w:t>CommScope DAS — [4] границы совместимости CPRI</w:t>
        </w:r>
      </w:hyperlink>
      <w:r>
        <w:rPr>
          <w:sz w:val="17"/>
        </w:rPr>
        <w:t xml:space="preserve">; </w:t>
      </w:r>
      <w:hyperlink r:id="rId16">
        <w:r>
          <w:rPr>
            <w:color w:val="17558B"/>
            <w:sz w:val="17"/>
          </w:rPr>
          <w:t>36.306 — [5] §4, возможности UE</w:t>
        </w:r>
      </w:hyperlink>
      <w:r>
        <w:rPr>
          <w:sz w:val="17"/>
        </w:rPr>
        <w:t>.</w:t>
      </w:r>
    </w:p>
    <w:sectPr w:rsidR="00FC693F" w:rsidRPr="0006063C" w:rsidSect="00034616">
      <w:footerReference w:type="default" r:id="rId9"/>
      <w:pgSz w:w="11906" w:h="16838"/>
      <w:pgMar w:top="822" w:right="992" w:bottom="822" w:left="992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ТРК Эльбрус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auto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etsi.org/deliver/etsi_ts/145000_145099/145005/18.00.00_60/ts_145005v180000p.pdf" TargetMode="External"/><Relationship Id="rId11" Type="http://schemas.openxmlformats.org/officeDocument/2006/relationships/hyperlink" Target="https://www.etsi.org/deliver/etsi_ts/136100_136199/136104/12.07.00_60/ts_136104v120700p.pdf" TargetMode="External"/><Relationship Id="rId12" Type="http://schemas.openxmlformats.org/officeDocument/2006/relationships/hyperlink" Target="https://www.rosenberger.com/news-events/news/new-site-solutions-catalogues/" TargetMode="External"/><Relationship Id="rId13" Type="http://schemas.openxmlformats.org/officeDocument/2006/relationships/hyperlink" Target="https://www.rfstechnologies.com/articles/brochure/download/passive-das-selection-guide" TargetMode="External"/><Relationship Id="rId14" Type="http://schemas.openxmlformats.org/officeDocument/2006/relationships/hyperlink" Target="https://www.commscope.com/blog/2014/pim-requirements-must-increase-to-support-evolving-das-systems/" TargetMode="External"/><Relationship Id="rId15" Type="http://schemas.openxmlformats.org/officeDocument/2006/relationships/hyperlink" Target="https://www.commscope.com/blog/2015/the-3-most-common-misconceptions-about-digital-das/" TargetMode="External"/><Relationship Id="rId16" Type="http://schemas.openxmlformats.org/officeDocument/2006/relationships/hyperlink" Target="https://www.etsi.org/deliver/etsi_ts/136300_136399/136306/15.03.00_60/ts_136306v150300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Подход к подбору оборудования</dc:title>
  <dc:subject>Радио — MTC ENGINEER HACK • онлайн-этап • ТРК Эльбрус</dc:subject>
  <dc:creator>Абалаков Павел Альбертович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